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#113</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1-23</w:t>
      </w:r>
      <w:r>
        <w:rPr>
          <w:rFonts w:hint="eastAsia" w:ascii="Arial" w:hAnsi="Arial" w:cs="Arial"/>
          <w:b/>
          <w:bCs/>
          <w:sz w:val="28"/>
          <w:szCs w:val="24"/>
          <w:lang w:val="en-US" w:eastAsia="zh-CN"/>
        </w:rPr>
        <w:t>05709</w:t>
      </w:r>
    </w:p>
    <w:p>
      <w:pPr>
        <w:tabs>
          <w:tab w:val="center" w:pos="4536"/>
          <w:tab w:val="right" w:pos="9072"/>
        </w:tabs>
        <w:spacing w:before="0" w:beforeLines="0" w:after="0" w:afterLines="0" w:line="360" w:lineRule="auto"/>
        <w:rPr>
          <w:sz w:val="24"/>
          <w:szCs w:val="24"/>
          <w:lang w:eastAsia="zh-CN"/>
        </w:rPr>
      </w:pPr>
      <w:r>
        <w:rPr>
          <w:rFonts w:ascii="Arial" w:hAnsi="Arial" w:eastAsia="MS Mincho" w:cs="Arial"/>
          <w:b/>
          <w:bCs/>
          <w:sz w:val="28"/>
          <w:lang w:eastAsia="ja-JP"/>
        </w:rPr>
        <w:t xml:space="preserve">Incheon, Korea, May 22nd – May 26th, 2023 </w:t>
      </w:r>
    </w:p>
    <w:p>
      <w:pPr>
        <w:pStyle w:val="22"/>
        <w:spacing w:before="0" w:beforeLines="0" w:after="0" w:afterLines="0" w:line="360" w:lineRule="auto"/>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before="0" w:beforeLines="0" w:after="0" w:afterLines="0" w:line="360" w:lineRule="auto"/>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UE complexity</w:t>
      </w:r>
      <w:r>
        <w:rPr>
          <w:rFonts w:hint="eastAsia" w:ascii="Times New Roman" w:hAnsi="Times New Roman"/>
          <w:sz w:val="24"/>
          <w:szCs w:val="24"/>
          <w:lang w:val="en-US" w:eastAsia="zh-CN"/>
        </w:rPr>
        <w:t xml:space="preserve"> reduction</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t>In RAN</w:t>
      </w:r>
      <w:r>
        <w:rPr>
          <w:rFonts w:hint="eastAsia" w:cs="Times New Roman"/>
          <w:sz w:val="20"/>
          <w:szCs w:val="20"/>
          <w:lang w:val="en-US" w:eastAsia="zh-CN"/>
        </w:rPr>
        <w:t>1</w:t>
      </w:r>
      <w:r>
        <w:rPr>
          <w:rFonts w:hint="eastAsia" w:ascii="Times New Roman" w:hAnsi="Times New Roman" w:cs="Times New Roman"/>
          <w:sz w:val="20"/>
          <w:szCs w:val="20"/>
          <w:lang w:val="en-US" w:eastAsia="ja-JP"/>
        </w:rPr>
        <w:t>#</w:t>
      </w:r>
      <w:r>
        <w:rPr>
          <w:rFonts w:hint="eastAsia" w:cs="Times New Roman"/>
          <w:sz w:val="20"/>
          <w:szCs w:val="20"/>
          <w:lang w:val="en-US" w:eastAsia="zh-CN"/>
        </w:rPr>
        <w:t>112b-e</w:t>
      </w:r>
      <w:r>
        <w:rPr>
          <w:rFonts w:hint="eastAsia" w:ascii="Times New Roman" w:hAnsi="Times New Roman" w:cs="Times New Roman"/>
          <w:sz w:val="20"/>
          <w:szCs w:val="20"/>
          <w:lang w:val="en-US" w:eastAsia="ja-JP"/>
        </w:rPr>
        <w:t xml:space="preserve"> </w:t>
      </w:r>
      <w:r>
        <w:rPr>
          <w:rFonts w:hint="eastAsia" w:ascii="Times New Roman" w:hAnsi="Times New Roman" w:cs="Times New Roman"/>
          <w:sz w:val="20"/>
          <w:szCs w:val="20"/>
          <w:lang w:val="en-US" w:eastAsia="zh-CN"/>
        </w:rPr>
        <w:t>meeting</w:t>
      </w:r>
      <w:r>
        <w:rPr>
          <w:rFonts w:hint="eastAsia" w:cs="Times New Roman"/>
          <w:sz w:val="20"/>
          <w:szCs w:val="20"/>
          <w:lang w:val="en-US" w:eastAsia="zh-CN"/>
        </w:rPr>
        <w:t>[1]</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the following agreements were reached</w:t>
      </w:r>
      <w:r>
        <w:rPr>
          <w:rFonts w:hint="eastAsia" w:ascii="Times New Roman" w:hAnsi="Times New Roman" w:cs="Times New Roman"/>
          <w:sz w:val="20"/>
          <w:szCs w:val="20"/>
          <w:lang w:val="en-US" w:eastAsia="zh-CN"/>
        </w:rPr>
        <w:t>:</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hint="eastAsia"/>
                <w:b/>
                <w:bCs w:val="0"/>
                <w:szCs w:val="20"/>
                <w:highlight w:val="none"/>
                <w:lang w:val="en-US" w:eastAsia="zh-CN"/>
              </w:rPr>
            </w:pPr>
            <w:r>
              <w:rPr>
                <w:rFonts w:hint="eastAsia" w:eastAsia="宋体"/>
                <w:b/>
                <w:bCs w:val="0"/>
                <w:szCs w:val="20"/>
                <w:highlight w:val="none"/>
                <w:lang w:val="en-US" w:eastAsia="zh-CN"/>
              </w:rPr>
              <w:t>UE BB bandwidth reduction</w:t>
            </w:r>
            <w:r>
              <w:rPr>
                <w:rFonts w:hint="eastAsia"/>
                <w:b/>
                <w:bCs w:val="0"/>
                <w:szCs w:val="20"/>
                <w:highlight w:val="none"/>
                <w:lang w:val="en-US" w:eastAsia="zh-CN"/>
              </w:rPr>
              <w:t>:</w:t>
            </w:r>
          </w:p>
          <w:p>
            <w:pPr>
              <w:overflowPunct w:val="0"/>
              <w:autoSpaceDE w:val="0"/>
              <w:autoSpaceDN w:val="0"/>
              <w:adjustRightInd w:val="0"/>
              <w:textAlignment w:val="baseline"/>
              <w:rPr>
                <w:rFonts w:hint="default"/>
                <w:b/>
                <w:bCs w:val="0"/>
                <w:szCs w:val="20"/>
                <w:highlight w:val="none"/>
                <w:lang w:val="en-US" w:eastAsia="zh-CN"/>
              </w:rPr>
            </w:pPr>
            <w:r>
              <w:rPr>
                <w:rFonts w:hint="eastAsia"/>
                <w:b/>
                <w:bCs w:val="0"/>
                <w:szCs w:val="20"/>
                <w:highlight w:val="none"/>
                <w:lang w:val="en-US" w:eastAsia="zh-CN"/>
              </w:rPr>
              <w:t>Msg 4 PDSCH bandwidth</w:t>
            </w:r>
          </w:p>
          <w:p>
            <w:pPr>
              <w:overflowPunct w:val="0"/>
              <w:autoSpaceDE w:val="0"/>
              <w:autoSpaceDN w:val="0"/>
              <w:adjustRightInd w:val="0"/>
              <w:textAlignment w:val="baseline"/>
              <w:rPr>
                <w:rFonts w:ascii="Times New Roman" w:hAnsi="Times New Roman" w:eastAsia="等线" w:cs="Times New Roman"/>
                <w:bCs/>
                <w:highlight w:val="green"/>
                <w:lang w:val="en-US" w:eastAsia="zh-CN"/>
              </w:rPr>
            </w:pPr>
            <w:r>
              <w:rPr>
                <w:rFonts w:hint="default" w:ascii="Times New Roman" w:hAnsi="Times New Roman" w:eastAsia="等线" w:cs="Times New Roman"/>
                <w:bCs/>
                <w:highlight w:val="green"/>
                <w:lang w:val="en-US" w:eastAsia="zh-CN"/>
              </w:rPr>
              <w:t>A</w:t>
            </w:r>
            <w:r>
              <w:rPr>
                <w:rFonts w:ascii="Times New Roman" w:hAnsi="Times New Roman" w:eastAsia="等线" w:cs="Times New Roman"/>
                <w:bCs/>
                <w:highlight w:val="green"/>
                <w:lang w:val="en-US" w:eastAsia="zh-CN"/>
              </w:rPr>
              <w:t>greement</w:t>
            </w:r>
          </w:p>
          <w:p>
            <w:pPr>
              <w:overflowPunct w:val="0"/>
              <w:autoSpaceDE w:val="0"/>
              <w:autoSpaceDN w:val="0"/>
              <w:adjustRightInd w:val="0"/>
              <w:textAlignment w:val="baseline"/>
              <w:rPr>
                <w:rFonts w:ascii="Times New Roman" w:hAnsi="Times New Roman" w:cs="Times New Roman"/>
                <w:bCs/>
                <w:lang w:val="en-US"/>
              </w:rPr>
            </w:pPr>
            <w:r>
              <w:rPr>
                <w:rFonts w:ascii="Times New Roman" w:hAnsi="Times New Roman" w:cs="Times New Roman"/>
                <w:bCs/>
                <w:lang w:val="en-US"/>
              </w:rPr>
              <w:t>Confirm the following working assumption by assuming that Msg3 indication is available</w:t>
            </w:r>
          </w:p>
          <w:p>
            <w:pPr>
              <w:overflowPunct w:val="0"/>
              <w:autoSpaceDE w:val="0"/>
              <w:autoSpaceDN w:val="0"/>
              <w:adjustRightInd w:val="0"/>
              <w:ind w:left="0"/>
              <w:textAlignment w:val="baseline"/>
              <w:rPr>
                <w:rFonts w:ascii="Times New Roman" w:hAnsi="Times New Roman" w:eastAsia="等线" w:cs="Times New Roman"/>
                <w:bCs/>
                <w:sz w:val="20"/>
                <w:szCs w:val="20"/>
                <w:highlight w:val="none"/>
                <w:lang w:val="en-US" w:eastAsia="zh-CN"/>
              </w:rPr>
            </w:pPr>
            <w:r>
              <w:rPr>
                <w:rFonts w:ascii="Times New Roman" w:hAnsi="Times New Roman" w:eastAsia="等线" w:cs="Times New Roman"/>
                <w:bCs/>
                <w:sz w:val="20"/>
                <w:szCs w:val="20"/>
                <w:highlight w:val="none"/>
                <w:lang w:val="en-US" w:eastAsia="zh-CN"/>
              </w:rPr>
              <w:t>Working Assumption</w:t>
            </w:r>
          </w:p>
          <w:p>
            <w:pPr>
              <w:numPr>
                <w:ilvl w:val="0"/>
                <w:numId w:val="2"/>
              </w:numPr>
              <w:overflowPunct w:val="0"/>
              <w:autoSpaceDE w:val="0"/>
              <w:autoSpaceDN w:val="0"/>
              <w:adjustRightInd w:val="0"/>
              <w:spacing w:after="180" w:line="252" w:lineRule="auto"/>
              <w:ind w:left="660"/>
              <w:contextualSpacing/>
              <w:textAlignment w:val="baseline"/>
              <w:rPr>
                <w:rFonts w:ascii="Times New Roman" w:hAnsi="Times New Roman" w:cs="Times New Roman"/>
                <w:bCs/>
                <w:sz w:val="20"/>
                <w:szCs w:val="20"/>
                <w:lang w:val="en-US" w:eastAsia="zh-CN"/>
              </w:rPr>
            </w:pPr>
            <w:r>
              <w:rPr>
                <w:rFonts w:ascii="Times New Roman" w:hAnsi="Times New Roman" w:cs="Times New Roman"/>
                <w:bCs/>
                <w:sz w:val="20"/>
                <w:szCs w:val="20"/>
                <w:lang w:val="en-US" w:eastAsia="zh-CN"/>
              </w:rPr>
              <w:t>For UE BB complexity reduction, a UE is able to receive a Msg4 PDSCH resource allocation spanning a bandwidth of more than ~5 MHz per slot.</w:t>
            </w:r>
          </w:p>
          <w:p>
            <w:pPr>
              <w:numPr>
                <w:ilvl w:val="1"/>
                <w:numId w:val="2"/>
              </w:numPr>
              <w:overflowPunct w:val="0"/>
              <w:autoSpaceDE w:val="0"/>
              <w:autoSpaceDN w:val="0"/>
              <w:adjustRightInd w:val="0"/>
              <w:spacing w:after="180" w:line="252" w:lineRule="auto"/>
              <w:ind w:left="1380"/>
              <w:contextualSpacing/>
              <w:textAlignment w:val="baseline"/>
              <w:rPr>
                <w:rFonts w:ascii="Times New Roman" w:hAnsi="Times New Roman" w:cs="Times New Roman"/>
                <w:bCs/>
                <w:sz w:val="20"/>
                <w:szCs w:val="20"/>
                <w:lang w:val="en-US" w:eastAsia="zh-CN"/>
              </w:rPr>
            </w:pPr>
            <w:r>
              <w:rPr>
                <w:rFonts w:ascii="Times New Roman" w:hAnsi="Times New Roman" w:cs="Times New Roman"/>
                <w:bCs/>
                <w:sz w:val="20"/>
                <w:szCs w:val="20"/>
                <w:lang w:val="en-US" w:eastAsia="zh-CN"/>
              </w:rPr>
              <w:t>The UE is not required to process a Msg4 PDSCH with a larger number of PRBs than 25 PRBs for 15 kHz SCS and 12 PRBs for 30 kHz SCS.</w:t>
            </w:r>
          </w:p>
          <w:p>
            <w:pPr>
              <w:overflowPunct w:val="0"/>
              <w:autoSpaceDE w:val="0"/>
              <w:autoSpaceDN w:val="0"/>
              <w:adjustRightInd w:val="0"/>
              <w:textAlignment w:val="baseline"/>
              <w:rPr>
                <w:rFonts w:hint="default" w:ascii="Times New Roman" w:hAnsi="Times New Roman" w:cs="Times New Roman"/>
                <w:b/>
                <w:highlight w:val="none"/>
                <w:lang w:val="en-US" w:eastAsia="zh-CN"/>
              </w:rPr>
            </w:pPr>
            <w:r>
              <w:rPr>
                <w:rFonts w:hint="default" w:ascii="Times New Roman" w:hAnsi="Times New Roman" w:cs="Times New Roman"/>
                <w:b/>
                <w:highlight w:val="none"/>
                <w:lang w:val="en-US" w:eastAsia="zh-CN"/>
              </w:rPr>
              <w:t>SI PDSCH</w:t>
            </w:r>
          </w:p>
          <w:p>
            <w:pPr>
              <w:tabs>
                <w:tab w:val="left" w:pos="720"/>
              </w:tabs>
              <w:overflowPunct w:val="0"/>
              <w:autoSpaceDE w:val="0"/>
              <w:autoSpaceDN w:val="0"/>
              <w:adjustRightInd w:val="0"/>
              <w:textAlignment w:val="baseline"/>
              <w:rPr>
                <w:rFonts w:ascii="Times New Roman" w:hAnsi="Times New Roman" w:cs="Times New Roman"/>
                <w:color w:val="000000"/>
                <w:szCs w:val="20"/>
                <w:highlight w:val="green"/>
                <w:lang w:val="en-US"/>
              </w:rPr>
            </w:pPr>
            <w:r>
              <w:rPr>
                <w:rFonts w:ascii="Times New Roman" w:hAnsi="Times New Roman" w:cs="Times New Roman"/>
                <w:color w:val="000000"/>
                <w:szCs w:val="20"/>
                <w:highlight w:val="green"/>
                <w:lang w:val="en-US"/>
              </w:rPr>
              <w:t>Agreement</w:t>
            </w:r>
          </w:p>
          <w:p>
            <w:pPr>
              <w:overflowPunct w:val="0"/>
              <w:autoSpaceDE w:val="0"/>
              <w:autoSpaceDN w:val="0"/>
              <w:adjustRightInd w:val="0"/>
              <w:textAlignment w:val="baseline"/>
              <w:rPr>
                <w:rFonts w:ascii="Times New Roman" w:hAnsi="Times New Roman" w:eastAsia="Calibri" w:cs="Times New Roman"/>
                <w:lang w:val="en-US"/>
              </w:rPr>
            </w:pPr>
            <w:r>
              <w:rPr>
                <w:rFonts w:ascii="Times New Roman" w:hAnsi="Times New Roman" w:eastAsia="Calibri" w:cs="Times New Roman"/>
                <w:lang w:val="en-US"/>
              </w:rPr>
              <w:t>Update the agreements for SI PDSCH with the clarification as follows:</w:t>
            </w:r>
          </w:p>
          <w:p>
            <w:pPr>
              <w:numPr>
                <w:ilvl w:val="0"/>
                <w:numId w:val="3"/>
              </w:numPr>
              <w:overflowPunct w:val="0"/>
              <w:autoSpaceDE w:val="0"/>
              <w:autoSpaceDN w:val="0"/>
              <w:adjustRightInd w:val="0"/>
              <w:spacing w:after="180" w:line="252" w:lineRule="auto"/>
              <w:contextualSpacing/>
              <w:textAlignment w:val="baseline"/>
              <w:rPr>
                <w:rFonts w:ascii="Times New Roman" w:hAnsi="Times New Roman" w:eastAsia="Microsoft YaHei UI" w:cs="Times New Roman"/>
                <w:szCs w:val="20"/>
                <w:lang w:val="en-US" w:eastAsia="zh-CN"/>
              </w:rPr>
            </w:pPr>
            <w:r>
              <w:rPr>
                <w:rFonts w:ascii="Times New Roman" w:hAnsi="Times New Roman" w:eastAsia="Microsoft YaHei UI" w:cs="Times New Roman"/>
                <w:szCs w:val="20"/>
                <w:lang w:val="en-US" w:eastAsia="zh-CN"/>
              </w:rPr>
              <w:t>For UE BB bandwidth reduction, for SIB1 (PDSCH),</w:t>
            </w:r>
          </w:p>
          <w:p>
            <w:pPr>
              <w:numPr>
                <w:ilvl w:val="1"/>
                <w:numId w:val="3"/>
              </w:numPr>
              <w:overflowPunct w:val="0"/>
              <w:autoSpaceDE w:val="0"/>
              <w:autoSpaceDN w:val="0"/>
              <w:adjustRightInd w:val="0"/>
              <w:spacing w:after="180" w:line="252" w:lineRule="auto"/>
              <w:contextualSpacing/>
              <w:textAlignment w:val="baseline"/>
              <w:rPr>
                <w:rFonts w:ascii="Times New Roman" w:hAnsi="Times New Roman" w:eastAsia="Microsoft YaHei UI" w:cs="Times New Roman"/>
                <w:color w:val="auto"/>
                <w:szCs w:val="20"/>
                <w:lang w:val="en-US" w:eastAsia="zh-CN"/>
              </w:rPr>
            </w:pPr>
            <w:r>
              <w:rPr>
                <w:rFonts w:ascii="Times New Roman" w:hAnsi="Times New Roman" w:eastAsia="Microsoft YaHei UI" w:cs="Times New Roman"/>
                <w:szCs w:val="20"/>
                <w:lang w:val="en-US" w:eastAsia="zh-CN"/>
              </w:rPr>
              <w:t>Allow the scheduling of SIB1 to be larger than 5 MHz (as in legacy operation).</w:t>
            </w:r>
            <w:r>
              <w:rPr>
                <w:rFonts w:ascii="Times New Roman" w:hAnsi="Times New Roman" w:eastAsia="Microsoft YaHei UI" w:cs="Times New Roman"/>
                <w:color w:val="FF0000"/>
                <w:szCs w:val="20"/>
                <w:u w:val="single"/>
                <w:lang w:val="en-US" w:eastAsia="zh-CN"/>
              </w:rPr>
              <w:t xml:space="preserve"> </w:t>
            </w:r>
            <w:r>
              <w:rPr>
                <w:rFonts w:ascii="Times New Roman" w:hAnsi="Times New Roman" w:eastAsia="Microsoft YaHei UI" w:cs="Times New Roman"/>
                <w:color w:val="auto"/>
                <w:szCs w:val="20"/>
                <w:u w:val="single"/>
                <w:lang w:val="en-US" w:eastAsia="zh-CN"/>
              </w:rPr>
              <w:t>The scheduling of SIB1 PDSCH is allowed to be larger than 25 PRBs for 15 kHz SCS and 12 PRBs for 30 kHz SCS.</w:t>
            </w:r>
          </w:p>
          <w:p>
            <w:pPr>
              <w:numPr>
                <w:ilvl w:val="0"/>
                <w:numId w:val="3"/>
              </w:numPr>
              <w:overflowPunct w:val="0"/>
              <w:autoSpaceDE w:val="0"/>
              <w:autoSpaceDN w:val="0"/>
              <w:adjustRightInd w:val="0"/>
              <w:spacing w:after="180" w:line="252" w:lineRule="auto"/>
              <w:contextualSpacing/>
              <w:textAlignment w:val="baseline"/>
              <w:rPr>
                <w:rFonts w:ascii="Times New Roman" w:hAnsi="Times New Roman" w:eastAsia="Microsoft YaHei UI" w:cs="Times New Roman"/>
                <w:color w:val="auto"/>
                <w:szCs w:val="20"/>
                <w:lang w:val="en-US" w:eastAsia="zh-CN"/>
              </w:rPr>
            </w:pPr>
            <w:r>
              <w:rPr>
                <w:rFonts w:ascii="Times New Roman" w:hAnsi="Times New Roman" w:eastAsia="Microsoft YaHei UI" w:cs="Times New Roman"/>
                <w:color w:val="auto"/>
                <w:szCs w:val="20"/>
                <w:lang w:val="en-US" w:eastAsia="zh-CN"/>
              </w:rPr>
              <w:t>For UE BB bandwidth reduction, for broadcast OSI (PDSCH),</w:t>
            </w:r>
          </w:p>
          <w:p>
            <w:pPr>
              <w:numPr>
                <w:ilvl w:val="1"/>
                <w:numId w:val="3"/>
              </w:numPr>
              <w:overflowPunct w:val="0"/>
              <w:autoSpaceDE w:val="0"/>
              <w:autoSpaceDN w:val="0"/>
              <w:adjustRightInd w:val="0"/>
              <w:spacing w:after="180" w:line="252" w:lineRule="auto"/>
              <w:contextualSpacing/>
              <w:textAlignment w:val="baseline"/>
              <w:rPr>
                <w:rFonts w:ascii="Times New Roman" w:hAnsi="Times New Roman" w:eastAsia="Microsoft YaHei UI" w:cs="Times New Roman"/>
                <w:color w:val="auto"/>
                <w:szCs w:val="20"/>
                <w:lang w:val="en-US" w:eastAsia="zh-CN"/>
              </w:rPr>
            </w:pPr>
            <w:r>
              <w:rPr>
                <w:rFonts w:ascii="Times New Roman" w:hAnsi="Times New Roman" w:eastAsia="Microsoft YaHei UI" w:cs="Times New Roman"/>
                <w:color w:val="auto"/>
                <w:szCs w:val="20"/>
                <w:lang w:val="en-US" w:eastAsia="zh-CN"/>
              </w:rPr>
              <w:t>Allow the scheduling of broadcast OSI (PDSCH) to be larger than 5 MHz (as in legacy operation).</w:t>
            </w:r>
            <w:r>
              <w:rPr>
                <w:rFonts w:ascii="Times New Roman" w:hAnsi="Times New Roman" w:eastAsia="Microsoft YaHei UI" w:cs="Times New Roman"/>
                <w:color w:val="auto"/>
                <w:szCs w:val="20"/>
                <w:u w:val="single"/>
                <w:lang w:val="en-US" w:eastAsia="zh-CN"/>
              </w:rPr>
              <w:t xml:space="preserve"> The scheduling of OSI PDSCH is allowed to be larger than 25 PRBs for 15 kHz SCS and 12 PRBs for 30 kHz SCS.</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RAR bandwidth</w:t>
            </w:r>
          </w:p>
          <w:p>
            <w:pPr>
              <w:overflowPunct w:val="0"/>
              <w:autoSpaceDE w:val="0"/>
              <w:autoSpaceDN w:val="0"/>
              <w:adjustRightInd w:val="0"/>
              <w:textAlignment w:val="baseline"/>
              <w:rPr>
                <w:rFonts w:ascii="Times New Roman" w:hAnsi="Times New Roman" w:eastAsia="等线" w:cs="Times New Roman"/>
                <w:szCs w:val="20"/>
                <w:highlight w:val="green"/>
                <w:lang w:val="en-US" w:eastAsia="zh-CN"/>
              </w:rPr>
            </w:pPr>
            <w:r>
              <w:rPr>
                <w:rFonts w:ascii="Times New Roman" w:hAnsi="Times New Roman" w:eastAsia="等线" w:cs="Times New Roman"/>
                <w:szCs w:val="20"/>
                <w:highlight w:val="green"/>
                <w:lang w:val="en-US" w:eastAsia="zh-CN"/>
              </w:rPr>
              <w:t>Agreement</w:t>
            </w:r>
          </w:p>
          <w:p>
            <w:pPr>
              <w:overflowPunct w:val="0"/>
              <w:autoSpaceDE w:val="0"/>
              <w:autoSpaceDN w:val="0"/>
              <w:adjustRightInd w:val="0"/>
              <w:textAlignment w:val="baseline"/>
              <w:rPr>
                <w:rFonts w:ascii="Times New Roman" w:hAnsi="Times New Roman" w:cs="Times New Roman"/>
                <w:szCs w:val="20"/>
                <w:lang w:val="en-US"/>
              </w:rPr>
            </w:pPr>
            <w:r>
              <w:rPr>
                <w:rFonts w:ascii="Times New Roman" w:hAnsi="Times New Roman" w:cs="Times New Roman"/>
                <w:szCs w:val="20"/>
                <w:lang w:val="en-US"/>
              </w:rPr>
              <w:t>Down-select one among the following options in RAN1#113:</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cs="Times New Roman"/>
                <w:szCs w:val="20"/>
                <w:lang w:val="en-US" w:eastAsia="zh-CN"/>
              </w:rPr>
            </w:pPr>
            <w:r>
              <w:rPr>
                <w:rFonts w:ascii="Times New Roman" w:hAnsi="Times New Roman" w:cs="Times New Roman"/>
                <w:szCs w:val="20"/>
                <w:lang w:val="en-US" w:eastAsia="zh-CN"/>
              </w:rPr>
              <w:t>Option 1:</w:t>
            </w:r>
          </w:p>
          <w:p>
            <w:pPr>
              <w:numPr>
                <w:ilvl w:val="1"/>
                <w:numId w:val="5"/>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等线" w:cs="Times New Roman"/>
                <w:szCs w:val="20"/>
                <w:lang w:val="en-US" w:eastAsia="zh-CN"/>
              </w:rPr>
              <w:t>For the “FFS: value(s) of X”</w:t>
            </w:r>
            <w:r>
              <w:rPr>
                <w:rFonts w:ascii="Times New Roman" w:hAnsi="Times New Roman" w:cs="Times New Roman"/>
                <w:szCs w:val="20"/>
                <w:lang w:val="en-US" w:eastAsia="zh-CN"/>
              </w:rPr>
              <w:t>,</w:t>
            </w:r>
          </w:p>
          <w:p>
            <w:pPr>
              <w:numPr>
                <w:ilvl w:val="2"/>
                <w:numId w:val="5"/>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MS PGothic" w:cs="Times New Roman"/>
                <w:szCs w:val="20"/>
                <w:lang w:val="en-US" w:eastAsia="zh-CN"/>
              </w:rPr>
              <w:t>X = 0.5/0.25 ms for 15/30 kHz SCS</w:t>
            </w:r>
          </w:p>
          <w:p>
            <w:pPr>
              <w:numPr>
                <w:ilvl w:val="2"/>
                <w:numId w:val="5"/>
              </w:numPr>
              <w:tabs>
                <w:tab w:val="left" w:pos="720"/>
              </w:tabs>
              <w:overflowPunct w:val="0"/>
              <w:autoSpaceDE w:val="0"/>
              <w:autoSpaceDN w:val="0"/>
              <w:adjustRightInd w:val="0"/>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Note: Legacy default TDRA table and Δ are reused.</w:t>
            </w:r>
          </w:p>
          <w:p>
            <w:pPr>
              <w:numPr>
                <w:ilvl w:val="1"/>
                <w:numId w:val="5"/>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A network-configurable additional separate early indication in Msg1 for Rel-18 eRedCap UEs is not supported.</w:t>
            </w:r>
          </w:p>
          <w:p>
            <w:pPr>
              <w:numPr>
                <w:ilvl w:val="2"/>
                <w:numId w:val="5"/>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When Msg1 indication for Rel-17 RedCap UEs is configured, it is used by Rel-18 eRedCap UEs (with or without UE BB bandwidth reduction).</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cs="Times New Roman"/>
                <w:szCs w:val="20"/>
                <w:lang w:val="en-US" w:eastAsia="zh-CN"/>
              </w:rPr>
            </w:pPr>
            <w:r>
              <w:rPr>
                <w:rFonts w:ascii="Times New Roman" w:hAnsi="Times New Roman" w:cs="Times New Roman"/>
                <w:szCs w:val="20"/>
                <w:lang w:val="en-US" w:eastAsia="zh-CN"/>
              </w:rPr>
              <w:t>Option 2:</w:t>
            </w:r>
          </w:p>
          <w:p>
            <w:pPr>
              <w:numPr>
                <w:ilvl w:val="1"/>
                <w:numId w:val="5"/>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等线" w:cs="Times New Roman"/>
                <w:szCs w:val="20"/>
                <w:lang w:val="en-US" w:eastAsia="zh-CN"/>
              </w:rPr>
              <w:t>For the “FFS: value(s) of X”</w:t>
            </w:r>
            <w:r>
              <w:rPr>
                <w:rFonts w:ascii="Times New Roman" w:hAnsi="Times New Roman" w:cs="Times New Roman"/>
                <w:szCs w:val="20"/>
                <w:lang w:val="en-US" w:eastAsia="zh-CN"/>
              </w:rPr>
              <w:t>,</w:t>
            </w:r>
          </w:p>
          <w:p>
            <w:pPr>
              <w:numPr>
                <w:ilvl w:val="2"/>
                <w:numId w:val="5"/>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MS PGothic" w:cs="Times New Roman"/>
                <w:szCs w:val="20"/>
                <w:lang w:val="en-US" w:eastAsia="zh-CN"/>
              </w:rPr>
              <w:t>X = 1/0.5 ms for 15/30 kHz SCS</w:t>
            </w:r>
          </w:p>
          <w:p>
            <w:pPr>
              <w:numPr>
                <w:ilvl w:val="2"/>
                <w:numId w:val="5"/>
              </w:numPr>
              <w:tabs>
                <w:tab w:val="left" w:pos="720"/>
              </w:tabs>
              <w:overflowPunct w:val="0"/>
              <w:autoSpaceDE w:val="0"/>
              <w:autoSpaceDN w:val="0"/>
              <w:adjustRightInd w:val="0"/>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Note: Legacy default TDRA table and Δ are reused.</w:t>
            </w:r>
          </w:p>
          <w:p>
            <w:pPr>
              <w:numPr>
                <w:ilvl w:val="1"/>
                <w:numId w:val="5"/>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A network-configurable additional separate early indication in Msg1 for Rel-18 eRedCap UEs is not supported.</w:t>
            </w:r>
          </w:p>
          <w:p>
            <w:pPr>
              <w:numPr>
                <w:ilvl w:val="2"/>
                <w:numId w:val="5"/>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When Msg1 indication for Rel-17 RedCap UEs is configured, it is used by Rel-18 eRedCap UEs (with or without UE BB bandwidth reduction).</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cs="Times New Roman"/>
                <w:szCs w:val="20"/>
                <w:lang w:val="en-US" w:eastAsia="zh-CN"/>
              </w:rPr>
            </w:pPr>
            <w:r>
              <w:rPr>
                <w:rFonts w:ascii="Times New Roman" w:hAnsi="Times New Roman" w:cs="Times New Roman"/>
                <w:szCs w:val="20"/>
                <w:lang w:val="en-US" w:eastAsia="zh-CN"/>
              </w:rPr>
              <w:t>Option 3:</w:t>
            </w:r>
          </w:p>
          <w:p>
            <w:pPr>
              <w:numPr>
                <w:ilvl w:val="1"/>
                <w:numId w:val="4"/>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等线" w:cs="Times New Roman"/>
                <w:szCs w:val="20"/>
                <w:lang w:val="en-US" w:eastAsia="zh-CN"/>
              </w:rPr>
              <w:t>For the “FFS: value(s) of X”</w:t>
            </w:r>
            <w:r>
              <w:rPr>
                <w:rFonts w:ascii="Times New Roman" w:hAnsi="Times New Roman" w:cs="Times New Roman"/>
                <w:szCs w:val="20"/>
                <w:lang w:val="en-US" w:eastAsia="zh-CN"/>
              </w:rPr>
              <w:t>,</w:t>
            </w:r>
          </w:p>
          <w:p>
            <w:pPr>
              <w:numPr>
                <w:ilvl w:val="2"/>
                <w:numId w:val="4"/>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MS PGothic" w:cs="Times New Roman"/>
                <w:szCs w:val="20"/>
                <w:lang w:val="en-US" w:eastAsia="zh-CN"/>
              </w:rPr>
              <w:t>X = 1/0.5 ms for 15/30 kHz SCS</w:t>
            </w:r>
          </w:p>
          <w:p>
            <w:pPr>
              <w:numPr>
                <w:ilvl w:val="2"/>
                <w:numId w:val="4"/>
              </w:numPr>
              <w:tabs>
                <w:tab w:val="left" w:pos="720"/>
              </w:tabs>
              <w:overflowPunct w:val="0"/>
              <w:autoSpaceDE w:val="0"/>
              <w:autoSpaceDN w:val="0"/>
              <w:adjustRightInd w:val="0"/>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FFS: Whether legacy default TDRA table and Δ are reused.</w:t>
            </w:r>
          </w:p>
          <w:p>
            <w:pPr>
              <w:numPr>
                <w:ilvl w:val="1"/>
                <w:numId w:val="4"/>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A network-configurable additional separate early indication in Msg1 for Rel-18 eRedCap UEs is supported.</w:t>
            </w:r>
          </w:p>
          <w:p>
            <w:pPr>
              <w:numPr>
                <w:ilvl w:val="2"/>
                <w:numId w:val="4"/>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When Msg1 indication for Rel-18 eRedCap UEs is configured, it is used by Rel-18 eRedCap UEs (with or without UE BB bandwidth reduction).</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cs="Times New Roman"/>
                <w:szCs w:val="20"/>
                <w:lang w:val="en-US" w:eastAsia="zh-CN"/>
              </w:rPr>
            </w:pPr>
            <w:r>
              <w:rPr>
                <w:rFonts w:ascii="Times New Roman" w:hAnsi="Times New Roman" w:cs="Times New Roman"/>
                <w:szCs w:val="20"/>
                <w:lang w:val="en-US" w:eastAsia="zh-CN"/>
              </w:rPr>
              <w:t>Option 4:</w:t>
            </w:r>
          </w:p>
          <w:p>
            <w:pPr>
              <w:numPr>
                <w:ilvl w:val="1"/>
                <w:numId w:val="5"/>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等线" w:cs="Times New Roman"/>
                <w:szCs w:val="20"/>
                <w:lang w:val="en-US" w:eastAsia="zh-CN"/>
              </w:rPr>
              <w:t>For the “FFS: value(s) of X”</w:t>
            </w:r>
            <w:r>
              <w:rPr>
                <w:rFonts w:ascii="Times New Roman" w:hAnsi="Times New Roman" w:cs="Times New Roman"/>
                <w:szCs w:val="20"/>
                <w:lang w:val="en-US" w:eastAsia="zh-CN"/>
              </w:rPr>
              <w:t>,</w:t>
            </w:r>
          </w:p>
          <w:p>
            <w:pPr>
              <w:numPr>
                <w:ilvl w:val="2"/>
                <w:numId w:val="5"/>
              </w:numPr>
              <w:tabs>
                <w:tab w:val="left" w:pos="720"/>
              </w:tabs>
              <w:overflowPunct w:val="0"/>
              <w:autoSpaceDE w:val="0"/>
              <w:autoSpaceDN w:val="0"/>
              <w:adjustRightInd w:val="0"/>
              <w:contextualSpacing/>
              <w:textAlignment w:val="baseline"/>
              <w:rPr>
                <w:rFonts w:ascii="Times New Roman" w:hAnsi="Times New Roman" w:cs="Times New Roman"/>
                <w:szCs w:val="20"/>
                <w:lang w:val="en-US"/>
              </w:rPr>
            </w:pPr>
            <w:r>
              <w:rPr>
                <w:rFonts w:ascii="Times New Roman" w:hAnsi="Times New Roman" w:eastAsia="MS PGothic" w:cs="Times New Roman"/>
                <w:szCs w:val="20"/>
                <w:lang w:val="en-US" w:eastAsia="zh-CN"/>
              </w:rPr>
              <w:t>X = 0.5/0.25 ms for 15/30 kHz SCS</w:t>
            </w:r>
          </w:p>
          <w:p>
            <w:pPr>
              <w:numPr>
                <w:ilvl w:val="2"/>
                <w:numId w:val="5"/>
              </w:numPr>
              <w:tabs>
                <w:tab w:val="left" w:pos="720"/>
              </w:tabs>
              <w:overflowPunct w:val="0"/>
              <w:autoSpaceDE w:val="0"/>
              <w:autoSpaceDN w:val="0"/>
              <w:adjustRightInd w:val="0"/>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Note: Legacy default TDRA table and Δ are reused.</w:t>
            </w:r>
          </w:p>
          <w:p>
            <w:pPr>
              <w:numPr>
                <w:ilvl w:val="1"/>
                <w:numId w:val="5"/>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A network-configurable additional separate early indication in Msg1 for Rel-18 eRedCap UEs is supported.</w:t>
            </w:r>
          </w:p>
          <w:p>
            <w:pPr>
              <w:numPr>
                <w:ilvl w:val="2"/>
                <w:numId w:val="5"/>
              </w:numPr>
              <w:overflowPunct w:val="0"/>
              <w:autoSpaceDE w:val="0"/>
              <w:autoSpaceDN w:val="0"/>
              <w:adjustRightInd w:val="0"/>
              <w:spacing w:after="180" w:line="252" w:lineRule="auto"/>
              <w:contextualSpacing/>
              <w:textAlignment w:val="baseline"/>
              <w:rPr>
                <w:rFonts w:ascii="Times New Roman" w:hAnsi="Times New Roman" w:eastAsia="Calibri" w:cs="Times New Roman"/>
                <w:szCs w:val="20"/>
                <w:lang w:val="en-US" w:eastAsia="zh-CN"/>
              </w:rPr>
            </w:pPr>
            <w:r>
              <w:rPr>
                <w:rFonts w:ascii="Times New Roman" w:hAnsi="Times New Roman" w:eastAsia="Calibri" w:cs="Times New Roman"/>
                <w:szCs w:val="20"/>
                <w:lang w:val="en-US" w:eastAsia="zh-CN"/>
              </w:rPr>
              <w:t>When Msg1 indication for Rel-18 RedCap UEs is configured, it is used by Rel-18 eRedCap UEs (with or without UE BB bandwidth reduction).</w:t>
            </w:r>
          </w:p>
          <w:p>
            <w:pPr>
              <w:overflowPunct w:val="0"/>
              <w:autoSpaceDE w:val="0"/>
              <w:autoSpaceDN w:val="0"/>
              <w:adjustRightInd w:val="0"/>
              <w:textAlignment w:val="baseline"/>
              <w:rPr>
                <w:rFonts w:hint="default" w:ascii="Times New Roman" w:hAnsi="Times New Roman" w:cs="Times New Roman"/>
                <w:b/>
                <w:bCs w:val="0"/>
                <w:szCs w:val="20"/>
                <w:highlight w:val="none"/>
                <w:lang w:val="en-US" w:eastAsia="zh-CN"/>
              </w:rPr>
            </w:pPr>
          </w:p>
          <w:p>
            <w:pPr>
              <w:overflowPunct w:val="0"/>
              <w:autoSpaceDE w:val="0"/>
              <w:autoSpaceDN w:val="0"/>
              <w:adjustRightInd w:val="0"/>
              <w:textAlignment w:val="baseline"/>
              <w:rPr>
                <w:rFonts w:ascii="Times New Roman" w:hAnsi="Times New Roman" w:eastAsia="等线" w:cs="Times New Roman"/>
                <w:szCs w:val="20"/>
                <w:highlight w:val="green"/>
                <w:lang w:val="en-US" w:eastAsia="zh-CN"/>
              </w:rPr>
            </w:pPr>
            <w:r>
              <w:rPr>
                <w:rFonts w:ascii="Times New Roman" w:hAnsi="Times New Roman" w:eastAsia="等线" w:cs="Times New Roman"/>
                <w:szCs w:val="20"/>
                <w:highlight w:val="green"/>
                <w:lang w:val="en-US" w:eastAsia="zh-CN"/>
              </w:rPr>
              <w:t>Agreement</w:t>
            </w:r>
          </w:p>
          <w:p>
            <w:pPr>
              <w:overflowPunct w:val="0"/>
              <w:autoSpaceDE w:val="0"/>
              <w:autoSpaceDN w:val="0"/>
              <w:adjustRightInd w:val="0"/>
              <w:textAlignment w:val="baseline"/>
              <w:rPr>
                <w:rFonts w:ascii="Times New Roman" w:hAnsi="Times New Roman" w:eastAsia="等线" w:cs="Times New Roman"/>
                <w:szCs w:val="20"/>
                <w:lang w:val="en-US" w:eastAsia="zh-CN"/>
              </w:rPr>
            </w:pPr>
            <w:r>
              <w:rPr>
                <w:rFonts w:ascii="Times New Roman" w:hAnsi="Times New Roman" w:eastAsia="Times New Roman" w:cs="Times New Roman"/>
                <w:szCs w:val="20"/>
                <w:lang w:val="en-US"/>
              </w:rPr>
              <w:t>T</w:t>
            </w:r>
            <w:r>
              <w:rPr>
                <w:rFonts w:ascii="Times New Roman" w:hAnsi="Times New Roman" w:eastAsia="等线" w:cs="Times New Roman"/>
                <w:szCs w:val="20"/>
                <w:lang w:val="en-US" w:eastAsia="zh-CN"/>
              </w:rPr>
              <w:t>he potential timeline relaxations for the following cases are FFS:</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For 2-step RACH:</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Case 2a: Between reception of fallbackRAR and transmission of Msg3</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Case 2b: Between reception of successRAR and transmission of corresponding HARQ-ACK</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For 4-step RACH:</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Case 4a: Between reception of RAR PDSCH in which UE does not correctly receive the transport block and upcoming transmission of PRACH</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Case 4b: Between reception of RAR with RAPID which is not associated with the corresponding PRACH transmission and upcoming transmission of PRACH</w:t>
            </w:r>
          </w:p>
          <w:p>
            <w:pPr>
              <w:overflowPunct w:val="0"/>
              <w:autoSpaceDE w:val="0"/>
              <w:autoSpaceDN w:val="0"/>
              <w:adjustRightInd w:val="0"/>
              <w:textAlignment w:val="baseline"/>
              <w:rPr>
                <w:rFonts w:hint="default" w:ascii="Times New Roman" w:hAnsi="Times New Roman" w:cs="Times New Roman"/>
                <w:b/>
                <w:bCs w:val="0"/>
                <w:szCs w:val="20"/>
                <w:highlight w:val="none"/>
                <w:lang w:val="en-US" w:eastAsia="zh-CN"/>
              </w:rPr>
            </w:pPr>
          </w:p>
          <w:p>
            <w:pPr>
              <w:overflowPunct/>
              <w:autoSpaceDE/>
              <w:autoSpaceDN/>
              <w:adjustRightInd/>
              <w:spacing w:before="0" w:after="0" w:line="240" w:lineRule="auto"/>
              <w:contextualSpacing w:val="0"/>
              <w:textAlignment w:val="auto"/>
              <w:rPr>
                <w:rFonts w:ascii="Times New Roman" w:hAnsi="Times New Roman" w:eastAsia="Microsoft YaHei UI" w:cs="Times New Roman"/>
                <w:szCs w:val="20"/>
                <w:u w:val="single"/>
                <w:lang w:val="en-US" w:eastAsia="zh-CN"/>
              </w:rPr>
            </w:pPr>
            <w:r>
              <w:rPr>
                <w:rFonts w:hint="default" w:ascii="Times New Roman" w:hAnsi="Times New Roman" w:cs="Times New Roman"/>
                <w:b/>
                <w:bCs/>
                <w:sz w:val="20"/>
                <w:szCs w:val="20"/>
                <w:u w:val="single"/>
                <w:lang w:val="en-US"/>
              </w:rPr>
              <w:t>Simultaneous reception</w:t>
            </w:r>
          </w:p>
          <w:p>
            <w:pPr>
              <w:overflowPunct w:val="0"/>
              <w:autoSpaceDE w:val="0"/>
              <w:autoSpaceDN w:val="0"/>
              <w:adjustRightInd w:val="0"/>
              <w:spacing w:after="180" w:line="252" w:lineRule="auto"/>
              <w:contextualSpacing/>
              <w:textAlignment w:val="baseline"/>
              <w:rPr>
                <w:rFonts w:ascii="Times New Roman" w:hAnsi="Times New Roman" w:eastAsia="Microsoft YaHei UI" w:cs="Times New Roman"/>
                <w:szCs w:val="20"/>
                <w:u w:val="single"/>
                <w:lang w:val="en-US" w:eastAsia="zh-CN"/>
              </w:rPr>
            </w:pPr>
          </w:p>
          <w:p>
            <w:pPr>
              <w:overflowPunct w:val="0"/>
              <w:autoSpaceDE w:val="0"/>
              <w:autoSpaceDN w:val="0"/>
              <w:adjustRightInd w:val="0"/>
              <w:spacing w:after="180" w:line="252" w:lineRule="auto"/>
              <w:contextualSpacing/>
              <w:textAlignment w:val="baseline"/>
              <w:rPr>
                <w:rFonts w:ascii="Times New Roman" w:hAnsi="Times New Roman" w:eastAsia="Microsoft YaHei UI" w:cs="Times New Roman"/>
                <w:szCs w:val="20"/>
                <w:u w:val="single"/>
                <w:lang w:val="en-US" w:eastAsia="zh-CN"/>
              </w:rPr>
            </w:pPr>
            <w:r>
              <w:rPr>
                <w:rFonts w:ascii="Times New Roman" w:hAnsi="Times New Roman" w:eastAsia="Microsoft YaHei UI" w:cs="Times New Roman"/>
                <w:szCs w:val="20"/>
                <w:u w:val="single"/>
                <w:lang w:val="en-US" w:eastAsia="zh-CN"/>
              </w:rPr>
              <w:t>Conclusion</w:t>
            </w:r>
          </w:p>
          <w:p>
            <w:pPr>
              <w:overflowPunct w:val="0"/>
              <w:autoSpaceDE w:val="0"/>
              <w:autoSpaceDN w:val="0"/>
              <w:adjustRightInd w:val="0"/>
              <w:spacing w:after="180" w:line="252" w:lineRule="auto"/>
              <w:contextualSpacing/>
              <w:textAlignment w:val="baseline"/>
              <w:rPr>
                <w:rFonts w:ascii="Times New Roman" w:hAnsi="Times New Roman" w:eastAsia="Microsoft YaHei UI" w:cs="Times New Roman"/>
                <w:szCs w:val="20"/>
                <w:lang w:val="en-US" w:eastAsia="zh-CN"/>
              </w:rPr>
            </w:pPr>
            <w:r>
              <w:rPr>
                <w:rFonts w:ascii="Times New Roman" w:hAnsi="Times New Roman" w:eastAsia="Microsoft YaHei UI" w:cs="Times New Roman"/>
                <w:szCs w:val="20"/>
                <w:lang w:val="en-US" w:eastAsia="zh-CN"/>
              </w:rPr>
              <w:t>For UE BB bandwidth reduction, for autonomous SI acquisition, the following paragraph in TS 38.214 clause 5.1 still applies:</w:t>
            </w:r>
          </w:p>
          <w:p>
            <w:pPr>
              <w:numPr>
                <w:ilvl w:val="0"/>
                <w:numId w:val="5"/>
              </w:numPr>
              <w:overflowPunct w:val="0"/>
              <w:autoSpaceDE w:val="0"/>
              <w:autoSpaceDN w:val="0"/>
              <w:adjustRightInd w:val="0"/>
              <w:spacing w:after="180" w:line="252" w:lineRule="auto"/>
              <w:contextualSpacing/>
              <w:textAlignment w:val="baseline"/>
              <w:rPr>
                <w:rFonts w:ascii="Times New Roman" w:hAnsi="Times New Roman" w:eastAsia="Microsoft YaHei UI" w:cs="Times New Roman"/>
                <w:szCs w:val="20"/>
                <w:lang w:val="en-US" w:eastAsia="zh-CN"/>
              </w:rPr>
            </w:pPr>
            <w:r>
              <w:rPr>
                <w:rFonts w:ascii="Times New Roman" w:hAnsi="Times New Roman" w:eastAsia="Microsoft YaHei UI" w:cs="Times New Roman"/>
                <w:szCs w:val="20"/>
                <w:lang w:val="en-US" w:eastAsia="zh-CN"/>
              </w:rPr>
              <w:t>“The UE is expected to decode a PDSCH scheduled with C-RNTI, MCS-C-RNTI, or CS-RNTI during a process of autonomous SI acquisition.”</w:t>
            </w:r>
          </w:p>
          <w:p>
            <w:pPr>
              <w:numPr>
                <w:ilvl w:val="0"/>
                <w:numId w:val="5"/>
              </w:numPr>
              <w:overflowPunct w:val="0"/>
              <w:autoSpaceDE w:val="0"/>
              <w:autoSpaceDN w:val="0"/>
              <w:adjustRightInd w:val="0"/>
              <w:spacing w:after="180" w:line="252" w:lineRule="auto"/>
              <w:contextualSpacing/>
              <w:textAlignment w:val="baseline"/>
              <w:rPr>
                <w:rFonts w:ascii="Times New Roman" w:hAnsi="Times New Roman" w:eastAsia="Microsoft YaHei UI"/>
                <w:szCs w:val="20"/>
                <w:lang w:val="en-US" w:eastAsia="zh-CN"/>
              </w:rPr>
            </w:pPr>
            <w:r>
              <w:rPr>
                <w:rFonts w:ascii="Times New Roman" w:hAnsi="Times New Roman" w:eastAsia="Microsoft YaHei UI" w:cs="Times New Roman"/>
                <w:szCs w:val="20"/>
                <w:lang w:val="en-US" w:eastAsia="zh-CN"/>
              </w:rPr>
              <w:t>FFS: Msg4 PDSCH scheduled by TC-RNTI case</w:t>
            </w:r>
          </w:p>
          <w:p>
            <w:pPr>
              <w:pStyle w:val="29"/>
              <w:numPr>
                <w:ilvl w:val="-1"/>
                <w:numId w:val="0"/>
              </w:numPr>
              <w:overflowPunct w:val="0"/>
              <w:autoSpaceDE w:val="0"/>
              <w:autoSpaceDN w:val="0"/>
              <w:adjustRightInd w:val="0"/>
              <w:spacing w:before="0" w:beforeLines="0" w:after="0" w:afterLines="0" w:line="360" w:lineRule="auto"/>
              <w:ind w:left="0" w:firstLine="0"/>
              <w:textAlignment w:val="baseline"/>
              <w:rPr>
                <w:vertAlign w:val="baseline"/>
                <w:lang w:eastAsia="ja-JP"/>
              </w:rPr>
            </w:pPr>
          </w:p>
        </w:tc>
      </w:tr>
    </w:tbl>
    <w:p>
      <w:pPr>
        <w:spacing w:before="60" w:beforeLines="0" w:after="60" w:afterLines="0" w:line="360" w:lineRule="auto"/>
        <w:jc w:val="both"/>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ja-JP"/>
        </w:rPr>
        <w:t>In this contribution, features that further reduce UE complexity will be discussed.</w:t>
      </w:r>
    </w:p>
    <w:p>
      <w:pPr>
        <w:pStyle w:val="2"/>
        <w:spacing w:before="240" w:beforeLines="0" w:after="180" w:afterLines="0" w:line="240" w:lineRule="auto"/>
        <w:ind w:left="0" w:firstLine="0"/>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 xml:space="preserve">Discussion on </w:t>
      </w:r>
      <w:r>
        <w:rPr>
          <w:rFonts w:hint="default" w:ascii="Arial" w:hAnsi="Arial" w:eastAsia="宋体" w:cs="Arial"/>
          <w:b w:val="0"/>
          <w:bCs w:val="0"/>
          <w:kern w:val="32"/>
          <w:sz w:val="32"/>
          <w:szCs w:val="32"/>
          <w:lang w:val="en-US" w:eastAsia="zh-CN" w:bidi="ar-SA"/>
        </w:rPr>
        <w:t xml:space="preserve">further </w:t>
      </w:r>
      <w:r>
        <w:rPr>
          <w:rFonts w:ascii="Arial" w:hAnsi="Arial" w:eastAsia="宋体" w:cs="Arial"/>
          <w:b w:val="0"/>
          <w:bCs w:val="0"/>
          <w:kern w:val="32"/>
          <w:sz w:val="32"/>
          <w:szCs w:val="32"/>
          <w:lang w:val="en-US" w:eastAsia="zh-CN" w:bidi="ar-SA"/>
        </w:rPr>
        <w:t>UE complexity reduction features</w:t>
      </w:r>
    </w:p>
    <w:p>
      <w:pPr>
        <w:pStyle w:val="3"/>
        <w:spacing w:before="240" w:after="180" w:line="240" w:lineRule="auto"/>
        <w:ind w:left="573" w:hanging="573"/>
        <w:rPr>
          <w:rFonts w:hint="default"/>
          <w:b w:val="0"/>
          <w:bCs w:val="0"/>
          <w:lang w:val="en-US" w:eastAsia="zh-CN"/>
        </w:rPr>
      </w:pPr>
      <w:r>
        <w:rPr>
          <w:rFonts w:hint="default"/>
          <w:b w:val="0"/>
          <w:bCs w:val="0"/>
          <w:lang w:val="en-US" w:eastAsia="zh-CN"/>
        </w:rPr>
        <w:t>UE BB bandwidth reduction</w:t>
      </w:r>
    </w:p>
    <w:p>
      <w:pPr>
        <w:pStyle w:val="4"/>
        <w:spacing w:before="240" w:after="180" w:line="240" w:lineRule="auto"/>
        <w:rPr>
          <w:rFonts w:hint="default"/>
          <w:b w:val="0"/>
          <w:bCs w:val="0"/>
          <w:lang w:val="en-US" w:eastAsia="zh-CN"/>
        </w:rPr>
      </w:pPr>
      <w:r>
        <w:rPr>
          <w:rFonts w:hint="default"/>
          <w:b w:val="0"/>
          <w:bCs w:val="0"/>
          <w:lang w:val="en-US" w:eastAsia="zh-CN"/>
        </w:rPr>
        <w:t>Early indication</w:t>
      </w:r>
    </w:p>
    <w:p>
      <w:pPr>
        <w:spacing w:before="60" w:beforeLines="0" w:after="60" w:afterLines="0" w:line="360" w:lineRule="auto"/>
        <w:jc w:val="both"/>
        <w:rPr>
          <w:rFonts w:hint="eastAsia"/>
          <w:lang w:val="en-US" w:eastAsia="zh-CN"/>
        </w:rPr>
      </w:pPr>
      <w:r>
        <w:rPr>
          <w:rFonts w:hint="eastAsia"/>
          <w:lang w:val="en-US" w:eastAsia="zh-CN"/>
        </w:rPr>
        <w:t>Early Indication was introduced in R17 and is mainly used for network devices to identify UE types, such as R17 Redcap UE and legacy UE. If there is no early indication, the network will not be able to distinguish whether the current UE is a legacy UE or a Redcap UE, so that the network will perform the same conservative treatment on different types of UEs. This is unfair to UEs with different energy consumption or latency requirements. Similarly, if R18 eRedcap UE reuses the early indication of R17 Redcap UE</w:t>
      </w:r>
      <w:r>
        <w:rPr>
          <w:rFonts w:hint="eastAsia"/>
          <w:highlight w:val="none"/>
          <w:lang w:val="en-US" w:eastAsia="zh-CN"/>
        </w:rPr>
        <w:t>, the network will schedule R17 Redcap UE and R18 eRedcap UE according to the maximum BB bandwidth supported by R18 eRedcap UE, which is inappropriate and unfair to R17 Redcap UE. In addition, since the number of PRBs scheduled by the RAR PDSCH of the R18 Redcap UE is different, the time interval</w:t>
      </w:r>
      <w:r>
        <w:rPr>
          <w:rFonts w:hint="eastAsia"/>
          <w:lang w:val="en-US" w:eastAsia="zh-CN"/>
        </w:rPr>
        <w:t xml:space="preserve"> between RAR reception and Msg3 transmission is different. Therefore, if the R17 Redcap UE and the R18 Redcap UE with BB bandwidth reduction use the same Msg1 early indication, it will lead to the problem of extended delay of the R17 Redcap UE. Therefore, it is necessary to introduce an early indication of Msg1 for R18 eRedcap that is different from that of R17 eRedcap. </w:t>
      </w:r>
      <w:bookmarkStart w:id="5" w:name="_GoBack"/>
      <w:bookmarkEnd w:id="5"/>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Msg 1 early indication for R18 eRedcap with BB bandwidth reduction should be supported.</w:t>
      </w:r>
    </w:p>
    <w:p>
      <w:pPr>
        <w:pStyle w:val="4"/>
        <w:spacing w:before="240" w:after="180" w:line="240" w:lineRule="auto"/>
        <w:rPr>
          <w:rFonts w:hint="default"/>
          <w:b w:val="0"/>
          <w:bCs w:val="0"/>
          <w:lang w:val="en-US" w:eastAsia="zh-CN"/>
        </w:rPr>
      </w:pPr>
      <w:r>
        <w:rPr>
          <w:rFonts w:hint="eastAsia"/>
          <w:b w:val="0"/>
          <w:bCs w:val="0"/>
          <w:lang w:val="en-US" w:eastAsia="zh-CN"/>
        </w:rPr>
        <w:t>Random access timeline</w:t>
      </w:r>
    </w:p>
    <w:p>
      <w:pPr>
        <w:spacing w:before="60" w:beforeLines="0" w:after="60" w:afterLines="0" w:line="360" w:lineRule="auto"/>
        <w:jc w:val="both"/>
        <w:rPr>
          <w:rFonts w:hint="default"/>
          <w:lang w:val="en-US" w:eastAsia="zh-CN"/>
        </w:rPr>
      </w:pPr>
      <w:r>
        <w:rPr>
          <w:rFonts w:hint="eastAsia"/>
          <w:b w:val="0"/>
          <w:bCs w:val="0"/>
          <w:lang w:val="en-US" w:eastAsia="zh-CN"/>
        </w:rPr>
        <w:t>In RAN1#112b-e meeting, the following agreement were reached.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eastAsia="等线"/>
                <w:szCs w:val="20"/>
                <w:highlight w:val="green"/>
                <w:lang w:val="en-US" w:eastAsia="zh-CN"/>
              </w:rPr>
            </w:pPr>
            <w:r>
              <w:rPr>
                <w:rFonts w:ascii="Times New Roman" w:hAnsi="Times New Roman" w:eastAsia="等线"/>
                <w:szCs w:val="20"/>
                <w:highlight w:val="green"/>
                <w:lang w:val="en-US" w:eastAsia="zh-CN"/>
              </w:rPr>
              <w:t>Agreement</w:t>
            </w:r>
          </w:p>
          <w:p>
            <w:pPr>
              <w:overflowPunct w:val="0"/>
              <w:autoSpaceDE w:val="0"/>
              <w:autoSpaceDN w:val="0"/>
              <w:adjustRightInd w:val="0"/>
              <w:textAlignment w:val="baseline"/>
              <w:rPr>
                <w:rFonts w:ascii="Times New Roman" w:hAnsi="Times New Roman"/>
                <w:szCs w:val="20"/>
                <w:lang w:val="en-US"/>
              </w:rPr>
            </w:pPr>
            <w:r>
              <w:rPr>
                <w:rFonts w:ascii="Times New Roman" w:hAnsi="Times New Roman"/>
                <w:szCs w:val="20"/>
                <w:lang w:val="en-US"/>
              </w:rPr>
              <w:t>Down-select one among the following options in RAN1#113:</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Option 1:</w:t>
            </w:r>
          </w:p>
          <w:p>
            <w:pPr>
              <w:numPr>
                <w:ilvl w:val="1"/>
                <w:numId w:val="5"/>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等线"/>
                <w:szCs w:val="20"/>
                <w:lang w:val="en-US" w:eastAsia="zh-CN"/>
              </w:rPr>
              <w:t>For the “FFS: value(s) of X”</w:t>
            </w:r>
            <w:r>
              <w:rPr>
                <w:rFonts w:ascii="Times New Roman" w:hAnsi="Times New Roman"/>
                <w:szCs w:val="20"/>
                <w:lang w:val="en-US" w:eastAsia="zh-CN"/>
              </w:rPr>
              <w:t>,</w:t>
            </w:r>
          </w:p>
          <w:p>
            <w:pPr>
              <w:numPr>
                <w:ilvl w:val="2"/>
                <w:numId w:val="5"/>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MS PGothic"/>
                <w:szCs w:val="20"/>
                <w:lang w:val="en-US" w:eastAsia="zh-CN"/>
              </w:rPr>
              <w:t>X = 0.5/0.25 ms for 15/30 kHz SCS</w:t>
            </w:r>
          </w:p>
          <w:p>
            <w:pPr>
              <w:numPr>
                <w:ilvl w:val="2"/>
                <w:numId w:val="5"/>
              </w:numPr>
              <w:tabs>
                <w:tab w:val="left" w:pos="720"/>
              </w:tabs>
              <w:overflowPunct w:val="0"/>
              <w:autoSpaceDE w:val="0"/>
              <w:autoSpaceDN w:val="0"/>
              <w:adjustRightInd w:val="0"/>
              <w:contextualSpacing/>
              <w:textAlignment w:val="baseline"/>
              <w:rPr>
                <w:rFonts w:ascii="Times New Roman" w:hAnsi="Times New Roman" w:eastAsia="等线"/>
                <w:szCs w:val="20"/>
                <w:lang w:val="en-US" w:eastAsia="zh-CN"/>
              </w:rPr>
            </w:pPr>
            <w:r>
              <w:rPr>
                <w:rFonts w:ascii="Times New Roman" w:hAnsi="Times New Roman" w:eastAsia="等线"/>
                <w:szCs w:val="20"/>
                <w:lang w:val="en-US" w:eastAsia="zh-CN"/>
              </w:rPr>
              <w:t>Note: Legacy default TDRA table and Δ are reused.</w:t>
            </w:r>
          </w:p>
          <w:p>
            <w:pPr>
              <w:numPr>
                <w:ilvl w:val="1"/>
                <w:numId w:val="5"/>
              </w:numPr>
              <w:overflowPunct w:val="0"/>
              <w:autoSpaceDE w:val="0"/>
              <w:autoSpaceDN w:val="0"/>
              <w:adjustRightInd w:val="0"/>
              <w:spacing w:after="180" w:line="252" w:lineRule="auto"/>
              <w:contextualSpacing/>
              <w:textAlignment w:val="baseline"/>
              <w:rPr>
                <w:rFonts w:ascii="Times New Roman" w:hAnsi="Times New Roman" w:eastAsia="Calibri"/>
                <w:szCs w:val="20"/>
                <w:lang w:val="en-US" w:eastAsia="zh-CN"/>
              </w:rPr>
            </w:pPr>
            <w:r>
              <w:rPr>
                <w:rFonts w:ascii="Times New Roman" w:hAnsi="Times New Roman" w:eastAsia="Calibri"/>
                <w:szCs w:val="20"/>
                <w:lang w:val="en-US" w:eastAsia="zh-CN"/>
              </w:rPr>
              <w:t>A network-configurable additional separate early indication in Msg1 for Rel-18 eRedCap UEs is not supported.</w:t>
            </w:r>
          </w:p>
          <w:p>
            <w:pPr>
              <w:numPr>
                <w:ilvl w:val="2"/>
                <w:numId w:val="5"/>
              </w:numPr>
              <w:overflowPunct w:val="0"/>
              <w:autoSpaceDE w:val="0"/>
              <w:autoSpaceDN w:val="0"/>
              <w:adjustRightInd w:val="0"/>
              <w:spacing w:after="180" w:line="252" w:lineRule="auto"/>
              <w:contextualSpacing/>
              <w:textAlignment w:val="baseline"/>
              <w:rPr>
                <w:rFonts w:ascii="Times New Roman" w:hAnsi="Times New Roman" w:eastAsia="Calibri"/>
                <w:szCs w:val="20"/>
                <w:lang w:val="en-US" w:eastAsia="zh-CN"/>
              </w:rPr>
            </w:pPr>
            <w:r>
              <w:rPr>
                <w:rFonts w:ascii="Times New Roman" w:hAnsi="Times New Roman" w:eastAsia="Calibri"/>
                <w:szCs w:val="20"/>
                <w:lang w:val="en-US" w:eastAsia="zh-CN"/>
              </w:rPr>
              <w:t>When Msg1 indication for Rel-17 RedCap UEs is configured, it is used by Rel-18 eRedCap UEs (with or without UE BB bandwidth reduction).</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Option 2:</w:t>
            </w:r>
          </w:p>
          <w:p>
            <w:pPr>
              <w:numPr>
                <w:ilvl w:val="1"/>
                <w:numId w:val="5"/>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等线"/>
                <w:szCs w:val="20"/>
                <w:lang w:val="en-US" w:eastAsia="zh-CN"/>
              </w:rPr>
              <w:t>For the “FFS: value(s) of X”</w:t>
            </w:r>
            <w:r>
              <w:rPr>
                <w:rFonts w:ascii="Times New Roman" w:hAnsi="Times New Roman"/>
                <w:szCs w:val="20"/>
                <w:lang w:val="en-US" w:eastAsia="zh-CN"/>
              </w:rPr>
              <w:t>,</w:t>
            </w:r>
          </w:p>
          <w:p>
            <w:pPr>
              <w:numPr>
                <w:ilvl w:val="2"/>
                <w:numId w:val="5"/>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MS PGothic"/>
                <w:szCs w:val="20"/>
                <w:lang w:val="en-US" w:eastAsia="zh-CN"/>
              </w:rPr>
              <w:t>X = 1/0.5 ms for 15/30 kHz SCS</w:t>
            </w:r>
          </w:p>
          <w:p>
            <w:pPr>
              <w:numPr>
                <w:ilvl w:val="2"/>
                <w:numId w:val="5"/>
              </w:numPr>
              <w:tabs>
                <w:tab w:val="left" w:pos="720"/>
              </w:tabs>
              <w:overflowPunct w:val="0"/>
              <w:autoSpaceDE w:val="0"/>
              <w:autoSpaceDN w:val="0"/>
              <w:adjustRightInd w:val="0"/>
              <w:contextualSpacing/>
              <w:textAlignment w:val="baseline"/>
              <w:rPr>
                <w:rFonts w:ascii="Times New Roman" w:hAnsi="Times New Roman" w:eastAsia="等线"/>
                <w:szCs w:val="20"/>
                <w:lang w:val="en-US" w:eastAsia="zh-CN"/>
              </w:rPr>
            </w:pPr>
            <w:r>
              <w:rPr>
                <w:rFonts w:ascii="Times New Roman" w:hAnsi="Times New Roman" w:eastAsia="等线"/>
                <w:szCs w:val="20"/>
                <w:lang w:val="en-US" w:eastAsia="zh-CN"/>
              </w:rPr>
              <w:t>Note: Legacy default TDRA table and Δ are reused.</w:t>
            </w:r>
          </w:p>
          <w:p>
            <w:pPr>
              <w:numPr>
                <w:ilvl w:val="1"/>
                <w:numId w:val="5"/>
              </w:numPr>
              <w:overflowPunct w:val="0"/>
              <w:autoSpaceDE w:val="0"/>
              <w:autoSpaceDN w:val="0"/>
              <w:adjustRightInd w:val="0"/>
              <w:spacing w:after="180" w:line="252" w:lineRule="auto"/>
              <w:contextualSpacing/>
              <w:textAlignment w:val="baseline"/>
              <w:rPr>
                <w:rFonts w:ascii="Times New Roman" w:hAnsi="Times New Roman" w:eastAsia="Calibri"/>
                <w:szCs w:val="20"/>
                <w:lang w:val="en-US" w:eastAsia="zh-CN"/>
              </w:rPr>
            </w:pPr>
            <w:r>
              <w:rPr>
                <w:rFonts w:ascii="Times New Roman" w:hAnsi="Times New Roman" w:eastAsia="Calibri"/>
                <w:szCs w:val="20"/>
                <w:lang w:val="en-US" w:eastAsia="zh-CN"/>
              </w:rPr>
              <w:t>A network-configurable additional separate early indication in Msg1 for Rel-18 eRedCap UEs is not supported.</w:t>
            </w:r>
          </w:p>
          <w:p>
            <w:pPr>
              <w:numPr>
                <w:ilvl w:val="2"/>
                <w:numId w:val="5"/>
              </w:numPr>
              <w:overflowPunct w:val="0"/>
              <w:autoSpaceDE w:val="0"/>
              <w:autoSpaceDN w:val="0"/>
              <w:adjustRightInd w:val="0"/>
              <w:spacing w:after="180" w:line="252" w:lineRule="auto"/>
              <w:contextualSpacing/>
              <w:textAlignment w:val="baseline"/>
              <w:rPr>
                <w:rFonts w:ascii="Times New Roman" w:hAnsi="Times New Roman" w:eastAsia="Calibri"/>
                <w:szCs w:val="20"/>
                <w:lang w:val="en-US" w:eastAsia="zh-CN"/>
              </w:rPr>
            </w:pPr>
            <w:r>
              <w:rPr>
                <w:rFonts w:ascii="Times New Roman" w:hAnsi="Times New Roman" w:eastAsia="Calibri"/>
                <w:szCs w:val="20"/>
                <w:lang w:val="en-US" w:eastAsia="zh-CN"/>
              </w:rPr>
              <w:t>When Msg1 indication for Rel-17 RedCap UEs is configured, it is used by Rel-18 eRedCap UEs (with or without UE BB bandwidth reduction).</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Option 3:</w:t>
            </w:r>
          </w:p>
          <w:p>
            <w:pPr>
              <w:numPr>
                <w:ilvl w:val="1"/>
                <w:numId w:val="4"/>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等线"/>
                <w:szCs w:val="20"/>
                <w:lang w:val="en-US" w:eastAsia="zh-CN"/>
              </w:rPr>
              <w:t>For the “FFS: value(s) of X”</w:t>
            </w:r>
            <w:r>
              <w:rPr>
                <w:rFonts w:ascii="Times New Roman" w:hAnsi="Times New Roman"/>
                <w:szCs w:val="20"/>
                <w:lang w:val="en-US" w:eastAsia="zh-CN"/>
              </w:rPr>
              <w:t>,</w:t>
            </w:r>
          </w:p>
          <w:p>
            <w:pPr>
              <w:numPr>
                <w:ilvl w:val="2"/>
                <w:numId w:val="4"/>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MS PGothic"/>
                <w:szCs w:val="20"/>
                <w:lang w:val="en-US" w:eastAsia="zh-CN"/>
              </w:rPr>
              <w:t>X = 1/0.5 ms for 15/30 kHz SCS</w:t>
            </w:r>
          </w:p>
          <w:p>
            <w:pPr>
              <w:numPr>
                <w:ilvl w:val="2"/>
                <w:numId w:val="4"/>
              </w:numPr>
              <w:tabs>
                <w:tab w:val="left" w:pos="720"/>
              </w:tabs>
              <w:overflowPunct w:val="0"/>
              <w:autoSpaceDE w:val="0"/>
              <w:autoSpaceDN w:val="0"/>
              <w:adjustRightInd w:val="0"/>
              <w:contextualSpacing/>
              <w:textAlignment w:val="baseline"/>
              <w:rPr>
                <w:rFonts w:ascii="Times New Roman" w:hAnsi="Times New Roman" w:eastAsia="等线"/>
                <w:szCs w:val="20"/>
                <w:lang w:val="en-US" w:eastAsia="zh-CN"/>
              </w:rPr>
            </w:pPr>
            <w:r>
              <w:rPr>
                <w:rFonts w:ascii="Times New Roman" w:hAnsi="Times New Roman" w:eastAsia="等线"/>
                <w:szCs w:val="20"/>
                <w:lang w:val="en-US" w:eastAsia="zh-CN"/>
              </w:rPr>
              <w:t>FFS: Whether legacy default TDRA table and Δ are reused.</w:t>
            </w:r>
          </w:p>
          <w:p>
            <w:pPr>
              <w:numPr>
                <w:ilvl w:val="1"/>
                <w:numId w:val="4"/>
              </w:numPr>
              <w:overflowPunct w:val="0"/>
              <w:autoSpaceDE w:val="0"/>
              <w:autoSpaceDN w:val="0"/>
              <w:adjustRightInd w:val="0"/>
              <w:spacing w:after="180" w:line="252" w:lineRule="auto"/>
              <w:contextualSpacing/>
              <w:textAlignment w:val="baseline"/>
              <w:rPr>
                <w:rFonts w:ascii="Times New Roman" w:hAnsi="Times New Roman" w:eastAsia="Calibri"/>
                <w:szCs w:val="20"/>
                <w:lang w:val="en-US" w:eastAsia="zh-CN"/>
              </w:rPr>
            </w:pPr>
            <w:r>
              <w:rPr>
                <w:rFonts w:ascii="Times New Roman" w:hAnsi="Times New Roman" w:eastAsia="Calibri"/>
                <w:szCs w:val="20"/>
                <w:lang w:val="en-US" w:eastAsia="zh-CN"/>
              </w:rPr>
              <w:t>A network-configurable additional separate early indication in Msg1 for Rel-18 eRedCap UEs is supported.</w:t>
            </w:r>
          </w:p>
          <w:p>
            <w:pPr>
              <w:numPr>
                <w:ilvl w:val="2"/>
                <w:numId w:val="4"/>
              </w:numPr>
              <w:overflowPunct w:val="0"/>
              <w:autoSpaceDE w:val="0"/>
              <w:autoSpaceDN w:val="0"/>
              <w:adjustRightInd w:val="0"/>
              <w:spacing w:after="180" w:line="252" w:lineRule="auto"/>
              <w:contextualSpacing/>
              <w:textAlignment w:val="baseline"/>
              <w:rPr>
                <w:rFonts w:ascii="Times New Roman" w:hAnsi="Times New Roman" w:eastAsia="Calibri"/>
                <w:szCs w:val="20"/>
                <w:lang w:val="en-US" w:eastAsia="zh-CN"/>
              </w:rPr>
            </w:pPr>
            <w:r>
              <w:rPr>
                <w:rFonts w:ascii="Times New Roman" w:hAnsi="Times New Roman" w:eastAsia="Calibri"/>
                <w:szCs w:val="20"/>
                <w:lang w:val="en-US" w:eastAsia="zh-CN"/>
              </w:rPr>
              <w:t>When Msg1 indication for Rel-18 eRedCap UEs is configured, it is used by Rel-18 eRedCap UEs (with or without UE BB bandwidth reduction).</w:t>
            </w:r>
          </w:p>
          <w:p>
            <w:pPr>
              <w:numPr>
                <w:ilvl w:val="0"/>
                <w:numId w:val="4"/>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Option 4:</w:t>
            </w:r>
          </w:p>
          <w:p>
            <w:pPr>
              <w:numPr>
                <w:ilvl w:val="1"/>
                <w:numId w:val="5"/>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等线"/>
                <w:szCs w:val="20"/>
                <w:lang w:val="en-US" w:eastAsia="zh-CN"/>
              </w:rPr>
              <w:t>For the “FFS: value(s) of X”</w:t>
            </w:r>
            <w:r>
              <w:rPr>
                <w:rFonts w:ascii="Times New Roman" w:hAnsi="Times New Roman"/>
                <w:szCs w:val="20"/>
                <w:lang w:val="en-US" w:eastAsia="zh-CN"/>
              </w:rPr>
              <w:t>,</w:t>
            </w:r>
          </w:p>
          <w:p>
            <w:pPr>
              <w:numPr>
                <w:ilvl w:val="2"/>
                <w:numId w:val="5"/>
              </w:numPr>
              <w:tabs>
                <w:tab w:val="left" w:pos="720"/>
              </w:tabs>
              <w:overflowPunct w:val="0"/>
              <w:autoSpaceDE w:val="0"/>
              <w:autoSpaceDN w:val="0"/>
              <w:adjustRightInd w:val="0"/>
              <w:contextualSpacing/>
              <w:textAlignment w:val="baseline"/>
              <w:rPr>
                <w:rFonts w:ascii="Times New Roman" w:hAnsi="Times New Roman"/>
                <w:szCs w:val="20"/>
                <w:lang w:val="en-US"/>
              </w:rPr>
            </w:pPr>
            <w:r>
              <w:rPr>
                <w:rFonts w:ascii="Times New Roman" w:hAnsi="Times New Roman" w:eastAsia="MS PGothic"/>
                <w:szCs w:val="20"/>
                <w:lang w:val="en-US" w:eastAsia="zh-CN"/>
              </w:rPr>
              <w:t>X = 0.5/0.25 ms for 15/30 kHz SCS</w:t>
            </w:r>
          </w:p>
          <w:p>
            <w:pPr>
              <w:numPr>
                <w:ilvl w:val="2"/>
                <w:numId w:val="5"/>
              </w:numPr>
              <w:tabs>
                <w:tab w:val="left" w:pos="720"/>
              </w:tabs>
              <w:overflowPunct w:val="0"/>
              <w:autoSpaceDE w:val="0"/>
              <w:autoSpaceDN w:val="0"/>
              <w:adjustRightInd w:val="0"/>
              <w:contextualSpacing/>
              <w:textAlignment w:val="baseline"/>
              <w:rPr>
                <w:rFonts w:ascii="Times New Roman" w:hAnsi="Times New Roman" w:eastAsia="等线"/>
                <w:szCs w:val="20"/>
                <w:lang w:val="en-US" w:eastAsia="zh-CN"/>
              </w:rPr>
            </w:pPr>
            <w:r>
              <w:rPr>
                <w:rFonts w:ascii="Times New Roman" w:hAnsi="Times New Roman" w:eastAsia="等线"/>
                <w:szCs w:val="20"/>
                <w:lang w:val="en-US" w:eastAsia="zh-CN"/>
              </w:rPr>
              <w:t>Note: Legacy default TDRA table and Δ are reused.</w:t>
            </w:r>
          </w:p>
          <w:p>
            <w:pPr>
              <w:numPr>
                <w:ilvl w:val="1"/>
                <w:numId w:val="5"/>
              </w:numPr>
              <w:overflowPunct w:val="0"/>
              <w:autoSpaceDE w:val="0"/>
              <w:autoSpaceDN w:val="0"/>
              <w:adjustRightInd w:val="0"/>
              <w:spacing w:after="180" w:line="252" w:lineRule="auto"/>
              <w:contextualSpacing/>
              <w:textAlignment w:val="baseline"/>
              <w:rPr>
                <w:rFonts w:ascii="Times New Roman" w:hAnsi="Times New Roman" w:eastAsia="Calibri"/>
                <w:szCs w:val="20"/>
                <w:lang w:val="en-US" w:eastAsia="zh-CN"/>
              </w:rPr>
            </w:pPr>
            <w:r>
              <w:rPr>
                <w:rFonts w:ascii="Times New Roman" w:hAnsi="Times New Roman" w:eastAsia="Calibri"/>
                <w:szCs w:val="20"/>
                <w:lang w:val="en-US" w:eastAsia="zh-CN"/>
              </w:rPr>
              <w:t>A network-configurable additional separate early indication in Msg1 for Rel-18 eRedCap UEs is supported.</w:t>
            </w:r>
          </w:p>
          <w:p>
            <w:pPr>
              <w:numPr>
                <w:ilvl w:val="2"/>
                <w:numId w:val="5"/>
              </w:numPr>
              <w:tabs>
                <w:tab w:val="left" w:pos="720"/>
              </w:tabs>
              <w:overflowPunct w:val="0"/>
              <w:autoSpaceDE w:val="0"/>
              <w:autoSpaceDN w:val="0"/>
              <w:adjustRightInd w:val="0"/>
              <w:spacing w:before="0" w:beforeLines="-2147483648" w:after="0" w:afterLines="-2147483648" w:line="240" w:lineRule="auto"/>
              <w:contextualSpacing/>
              <w:jc w:val="left"/>
              <w:textAlignment w:val="baseline"/>
              <w:rPr>
                <w:rFonts w:ascii="Times New Roman" w:hAnsi="Times New Roman" w:eastAsia="等线"/>
                <w:szCs w:val="20"/>
                <w:lang w:val="en-US" w:eastAsia="zh-CN"/>
              </w:rPr>
            </w:pPr>
            <w:r>
              <w:rPr>
                <w:rFonts w:ascii="Times New Roman" w:hAnsi="Times New Roman" w:eastAsia="等线"/>
                <w:szCs w:val="20"/>
                <w:lang w:val="en-US" w:eastAsia="zh-CN"/>
              </w:rPr>
              <w:t>When Msg1 indication for Rel-18 RedCap UEs is configured, it is used by Rel-18 eRedCap UEs (with or without UE BB bandwidth reduction).</w:t>
            </w:r>
          </w:p>
          <w:p>
            <w:pPr>
              <w:overflowPunct w:val="0"/>
              <w:autoSpaceDE w:val="0"/>
              <w:autoSpaceDN w:val="0"/>
              <w:adjustRightInd w:val="0"/>
              <w:spacing w:before="60" w:beforeLines="0" w:after="60" w:afterLines="0" w:line="360" w:lineRule="auto"/>
              <w:jc w:val="both"/>
              <w:textAlignment w:val="baseline"/>
              <w:rPr>
                <w:rFonts w:hint="eastAsia" w:ascii="Times New Roman" w:hAnsi="Times New Roman" w:eastAsia="MS PGothic"/>
                <w:szCs w:val="20"/>
                <w:lang w:val="en-US" w:eastAsia="zh-CN"/>
              </w:rPr>
            </w:pPr>
          </w:p>
        </w:tc>
      </w:tr>
    </w:tbl>
    <w:p>
      <w:pPr>
        <w:spacing w:before="60" w:beforeLines="0" w:after="60" w:afterLines="0" w:line="360" w:lineRule="auto"/>
        <w:jc w:val="both"/>
        <w:rPr>
          <w:rFonts w:hint="eastAsia" w:eastAsiaTheme="minorEastAsia"/>
          <w:lang w:val="en-US" w:eastAsia="zh-CN"/>
        </w:rPr>
      </w:pPr>
      <w:r>
        <w:rPr>
          <w:rFonts w:hint="eastAsia" w:eastAsiaTheme="minorEastAsia"/>
          <w:lang w:val="en-US" w:eastAsia="zh-CN"/>
        </w:rPr>
        <w:t xml:space="preserve">According to the meeting of RAN1#111 and RAN1#112, the scheduling of RAR PDSCH is allowed to be larger than the maximum number of unicast PRBs that the UE can process per slot. Therefore, the minimum processing time between RAR PDSCH and Msg3 needs to be increased. According to RAN1#112b-e meeting, the minimum processing time between RAR PDSCH and Msg3 needs to be increased by Xms, and the value of X can be X=[0.5/0.25] or X=[1/0.5]. Further, according to TS 38.214, </w:t>
      </w:r>
      <w:r>
        <w:rPr>
          <w:rFonts w:eastAsia="MS PGothic" w:cs="Arial"/>
          <w:szCs w:val="20"/>
          <w:lang w:eastAsia="ja-JP"/>
        </w:rPr>
        <w:t>N</w:t>
      </w:r>
      <w:r>
        <w:rPr>
          <w:rFonts w:eastAsia="MS PGothic" w:cs="Arial"/>
          <w:szCs w:val="20"/>
          <w:vertAlign w:val="subscript"/>
          <w:lang w:eastAsia="ja-JP"/>
        </w:rPr>
        <w:t xml:space="preserve">T,1 </w:t>
      </w:r>
      <w:r>
        <w:t xml:space="preserve">and </w:t>
      </w:r>
      <w:r>
        <w:rPr>
          <w:rFonts w:eastAsia="MS PGothic" w:cs="Arial"/>
          <w:szCs w:val="20"/>
          <w:lang w:eastAsia="ja-JP"/>
        </w:rPr>
        <w:t>N</w:t>
      </w:r>
      <w:r>
        <w:rPr>
          <w:rFonts w:eastAsia="MS PGothic" w:cs="Arial"/>
          <w:szCs w:val="20"/>
          <w:vertAlign w:val="subscript"/>
          <w:lang w:eastAsia="ja-JP"/>
        </w:rPr>
        <w:t>T,2</w:t>
      </w:r>
      <w:r>
        <w:rPr>
          <w:rFonts w:eastAsia="MS PGothic" w:cs="Arial"/>
          <w:szCs w:val="20"/>
          <w:lang w:eastAsia="ja-JP"/>
        </w:rPr>
        <w:t xml:space="preserve"> </w:t>
      </w:r>
      <w:r>
        <w:rPr>
          <w:rFonts w:hint="eastAsia" w:eastAsiaTheme="minorEastAsia"/>
          <w:lang w:val="en-US" w:eastAsia="zh-CN"/>
        </w:rPr>
        <w:t xml:space="preserve">respectively correspond to the duration of N1 and N2 symbols for PDSCH processing and PUSCH preparation. Therefore, the minimum processing time between RAR PDSCH and Msg3 is shown in Table 1: </w:t>
      </w:r>
    </w:p>
    <w:p>
      <w:pPr>
        <w:spacing w:before="60" w:beforeLines="0" w:after="60" w:afterLines="0" w:line="360" w:lineRule="auto"/>
        <w:jc w:val="center"/>
        <w:rPr>
          <w:rFonts w:hint="default" w:eastAsiaTheme="minorEastAsia"/>
          <w:lang w:val="en-US" w:eastAsia="zh-CN"/>
        </w:rPr>
      </w:pPr>
      <w:r>
        <w:rPr>
          <w:rFonts w:hint="eastAsia" w:eastAsiaTheme="minorEastAsia"/>
          <w:lang w:val="en-US" w:eastAsia="zh-CN"/>
        </w:rPr>
        <w:t>Table 1 Minimum processing time between RAR PDSCH and Msg3 in symbols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gridCol w:w="243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2430" w:type="dxa"/>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m:oMathPara>
              <m:oMath>
                <m:r>
                  <m:rPr/>
                  <w:rPr>
                    <w:rFonts w:hint="default" w:ascii="Cambria Math" w:hAnsi="Cambria Math" w:eastAsia="MS PGothic" w:cs="Times New Roman"/>
                    <w:sz w:val="20"/>
                    <w:szCs w:val="20"/>
                    <w:lang w:val="en-GB" w:eastAsia="ja-JP"/>
                  </w:rPr>
                  <m:t>μ</m:t>
                </m:r>
              </m:oMath>
            </m:oMathPara>
          </w:p>
        </w:tc>
        <w:tc>
          <w:tcPr>
            <w:tcW w:w="2430" w:type="dxa"/>
          </w:tcPr>
          <w:p>
            <w:pPr>
              <w:pStyle w:val="13"/>
              <w:overflowPunct w:val="0"/>
              <w:autoSpaceDE w:val="0"/>
              <w:autoSpaceDN w:val="0"/>
              <w:adjustRightInd w:val="0"/>
              <w:jc w:val="center"/>
              <w:textAlignment w:val="baseline"/>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RAR BW ≤ 5 MHz</w:t>
            </w:r>
          </w:p>
          <w:p>
            <w:pPr>
              <w:pStyle w:val="13"/>
              <w:overflowPunct w:val="0"/>
              <w:autoSpaceDE w:val="0"/>
              <w:autoSpaceDN w:val="0"/>
              <w:adjustRightInd w:val="0"/>
              <w:jc w:val="center"/>
              <w:textAlignment w:val="baseline"/>
              <w:rPr>
                <w:rFonts w:hint="default" w:ascii="Times New Roman" w:hAnsi="Times New Roman" w:eastAsia="宋体" w:cs="Times New Roman"/>
                <w:b w:val="0"/>
                <w:bCs/>
                <w:sz w:val="20"/>
                <w:szCs w:val="20"/>
                <w:lang w:val="en-US" w:eastAsia="zh-CN"/>
              </w:rPr>
            </w:pPr>
            <w:r>
              <w:rPr>
                <w:rFonts w:ascii="Times New Roman" w:hAnsi="Times New Roman" w:eastAsia="MS PGothic" w:cs="Times New Roman"/>
                <w:bCs/>
                <w:sz w:val="20"/>
                <w:szCs w:val="20"/>
                <w:lang w:eastAsia="ja-JP"/>
              </w:rPr>
              <w:t>N</w:t>
            </w:r>
            <w:r>
              <w:rPr>
                <w:rFonts w:ascii="Times New Roman" w:hAnsi="Times New Roman" w:eastAsia="MS PGothic" w:cs="Times New Roman"/>
                <w:bCs/>
                <w:sz w:val="20"/>
                <w:szCs w:val="20"/>
                <w:vertAlign w:val="subscript"/>
                <w:lang w:eastAsia="ja-JP"/>
              </w:rPr>
              <w:t>T,1</w:t>
            </w:r>
            <w:r>
              <w:rPr>
                <w:rFonts w:ascii="Times New Roman" w:hAnsi="Times New Roman" w:eastAsia="MS PGothic" w:cs="Times New Roman"/>
                <w:bCs/>
                <w:sz w:val="20"/>
                <w:szCs w:val="20"/>
                <w:lang w:eastAsia="ja-JP"/>
              </w:rPr>
              <w:t xml:space="preserve"> + N</w:t>
            </w:r>
            <w:r>
              <w:rPr>
                <w:rFonts w:ascii="Times New Roman" w:hAnsi="Times New Roman" w:eastAsia="MS PGothic" w:cs="Times New Roman"/>
                <w:bCs/>
                <w:sz w:val="20"/>
                <w:szCs w:val="20"/>
                <w:vertAlign w:val="subscript"/>
                <w:lang w:eastAsia="ja-JP"/>
              </w:rPr>
              <w:t>T,2</w:t>
            </w:r>
            <w:r>
              <w:rPr>
                <w:rFonts w:ascii="Times New Roman" w:hAnsi="Times New Roman" w:eastAsia="MS PGothic" w:cs="Times New Roman"/>
                <w:bCs/>
                <w:sz w:val="20"/>
                <w:szCs w:val="20"/>
                <w:lang w:eastAsia="ja-JP"/>
              </w:rPr>
              <w:t xml:space="preserve"> + 0.5</w:t>
            </w:r>
            <w:r>
              <w:rPr>
                <w:rFonts w:hint="eastAsia" w:ascii="Times New Roman" w:hAnsi="Times New Roman" w:cs="Times New Roman"/>
                <w:bCs/>
                <w:sz w:val="20"/>
                <w:szCs w:val="20"/>
                <w:lang w:val="en-US" w:eastAsia="zh-CN"/>
              </w:rPr>
              <w:t>ms=</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1</w:t>
            </w:r>
            <w:r>
              <w:rPr>
                <w:rFonts w:hint="default" w:ascii="Times New Roman" w:hAnsi="Times New Roman" w:cs="Times New Roman"/>
                <w:bCs/>
                <w:i/>
                <w:color w:val="000000"/>
                <w:vertAlign w:val="subscript"/>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2</w:t>
            </w:r>
            <w:r>
              <w:rPr>
                <w:rFonts w:hint="default" w:ascii="Times New Roman" w:hAnsi="Times New Roman" w:eastAsia="MS PGothic" w:cs="Times New Roman"/>
                <w:b w:val="0"/>
                <w:bCs/>
                <w:i w:val="0"/>
                <w:sz w:val="20"/>
                <w:szCs w:val="20"/>
                <w:vertAlign w:val="baseline"/>
                <w:lang w:val="en-US" w:eastAsia="ja-JP"/>
              </w:rPr>
              <w:t>+0.5ms</w:t>
            </w:r>
          </w:p>
        </w:tc>
        <w:tc>
          <w:tcPr>
            <w:tcW w:w="2430" w:type="dxa"/>
          </w:tcPr>
          <w:p>
            <w:pPr>
              <w:pStyle w:val="13"/>
              <w:overflowPunct w:val="0"/>
              <w:autoSpaceDE w:val="0"/>
              <w:autoSpaceDN w:val="0"/>
              <w:adjustRightInd w:val="0"/>
              <w:jc w:val="center"/>
              <w:textAlignment w:val="baseline"/>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RAR BW &gt; 5 MHz</w:t>
            </w:r>
          </w:p>
          <w:p>
            <w:pPr>
              <w:pStyle w:val="13"/>
              <w:overflowPunct w:val="0"/>
              <w:autoSpaceDE w:val="0"/>
              <w:autoSpaceDN w:val="0"/>
              <w:adjustRightInd w:val="0"/>
              <w:jc w:val="center"/>
              <w:textAlignment w:val="baseline"/>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with X = 0.5 / 0.25 ms</w:t>
            </w:r>
          </w:p>
          <w:p>
            <w:pPr>
              <w:pStyle w:val="13"/>
              <w:overflowPunct w:val="0"/>
              <w:autoSpaceDE w:val="0"/>
              <w:autoSpaceDN w:val="0"/>
              <w:adjustRightInd w:val="0"/>
              <w:jc w:val="center"/>
              <w:textAlignment w:val="baseline"/>
              <w:rPr>
                <w:rFonts w:hint="default" w:ascii="Times New Roman" w:hAnsi="Times New Roman" w:eastAsia="宋体" w:cs="Times New Roman"/>
                <w:b w:val="0"/>
                <w:bCs/>
                <w:sz w:val="20"/>
                <w:szCs w:val="20"/>
                <w:lang w:val="en-US" w:eastAsia="zh-CN"/>
              </w:rPr>
            </w:pPr>
            <w:r>
              <w:rPr>
                <w:rFonts w:ascii="Times New Roman" w:hAnsi="Times New Roman" w:eastAsia="MS PGothic" w:cs="Times New Roman"/>
                <w:bCs/>
                <w:sz w:val="20"/>
                <w:szCs w:val="20"/>
                <w:lang w:eastAsia="ja-JP"/>
              </w:rPr>
              <w:t>N</w:t>
            </w:r>
            <w:r>
              <w:rPr>
                <w:rFonts w:ascii="Times New Roman" w:hAnsi="Times New Roman" w:eastAsia="MS PGothic" w:cs="Times New Roman"/>
                <w:bCs/>
                <w:sz w:val="20"/>
                <w:szCs w:val="20"/>
                <w:vertAlign w:val="subscript"/>
                <w:lang w:eastAsia="ja-JP"/>
              </w:rPr>
              <w:t>T,1</w:t>
            </w:r>
            <w:r>
              <w:rPr>
                <w:rFonts w:ascii="Times New Roman" w:hAnsi="Times New Roman" w:eastAsia="MS PGothic" w:cs="Times New Roman"/>
                <w:bCs/>
                <w:sz w:val="20"/>
                <w:szCs w:val="20"/>
                <w:lang w:eastAsia="ja-JP"/>
              </w:rPr>
              <w:t xml:space="preserve"> + N</w:t>
            </w:r>
            <w:r>
              <w:rPr>
                <w:rFonts w:ascii="Times New Roman" w:hAnsi="Times New Roman" w:eastAsia="MS PGothic" w:cs="Times New Roman"/>
                <w:bCs/>
                <w:sz w:val="20"/>
                <w:szCs w:val="20"/>
                <w:vertAlign w:val="subscript"/>
                <w:lang w:eastAsia="ja-JP"/>
              </w:rPr>
              <w:t>T,2</w:t>
            </w:r>
            <w:r>
              <w:rPr>
                <w:rFonts w:ascii="Times New Roman" w:hAnsi="Times New Roman" w:eastAsia="MS PGothic" w:cs="Times New Roman"/>
                <w:bCs/>
                <w:sz w:val="20"/>
                <w:szCs w:val="20"/>
                <w:lang w:eastAsia="ja-JP"/>
              </w:rPr>
              <w:t xml:space="preserve"> + 0.5 + X</w:t>
            </w:r>
            <w:r>
              <w:rPr>
                <w:rFonts w:hint="eastAsia" w:ascii="Times New Roman" w:hAnsi="Times New Roman" w:cs="Times New Roman"/>
                <w:bCs/>
                <w:sz w:val="20"/>
                <w:szCs w:val="20"/>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1</w:t>
            </w:r>
            <w:r>
              <w:rPr>
                <w:rFonts w:hint="default" w:ascii="Times New Roman" w:hAnsi="Times New Roman" w:cs="Times New Roman"/>
                <w:bCs/>
                <w:i/>
                <w:color w:val="000000"/>
                <w:vertAlign w:val="subscript"/>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2</w:t>
            </w:r>
            <w:r>
              <w:rPr>
                <w:rFonts w:hint="default" w:ascii="Times New Roman" w:hAnsi="Times New Roman" w:eastAsia="MS PGothic" w:cs="Times New Roman"/>
                <w:b w:val="0"/>
                <w:bCs/>
                <w:i w:val="0"/>
                <w:sz w:val="20"/>
                <w:szCs w:val="20"/>
                <w:vertAlign w:val="baseline"/>
                <w:lang w:val="en-US" w:eastAsia="ja-JP"/>
              </w:rPr>
              <w:t>+0.5ms</w:t>
            </w:r>
            <w:r>
              <w:rPr>
                <w:rFonts w:hint="default" w:ascii="Times New Roman" w:hAnsi="Times New Roman" w:cs="Times New Roman"/>
                <w:b w:val="0"/>
                <w:bCs/>
                <w:i w:val="0"/>
                <w:sz w:val="20"/>
                <w:szCs w:val="20"/>
                <w:vertAlign w:val="baseline"/>
                <w:lang w:val="en-US" w:eastAsia="zh-CN"/>
              </w:rPr>
              <w:t>+X</w:t>
            </w:r>
          </w:p>
        </w:tc>
        <w:tc>
          <w:tcPr>
            <w:tcW w:w="2430" w:type="dxa"/>
          </w:tcPr>
          <w:p>
            <w:pPr>
              <w:pStyle w:val="13"/>
              <w:overflowPunct w:val="0"/>
              <w:autoSpaceDE w:val="0"/>
              <w:autoSpaceDN w:val="0"/>
              <w:adjustRightInd w:val="0"/>
              <w:jc w:val="center"/>
              <w:textAlignment w:val="baseline"/>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RAR BW &gt; 5 MHz</w:t>
            </w:r>
          </w:p>
          <w:p>
            <w:pPr>
              <w:pStyle w:val="13"/>
              <w:overflowPunct w:val="0"/>
              <w:autoSpaceDE w:val="0"/>
              <w:autoSpaceDN w:val="0"/>
              <w:adjustRightInd w:val="0"/>
              <w:jc w:val="center"/>
              <w:textAlignment w:val="baseline"/>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with X = 1 / 0.5 ms</w:t>
            </w:r>
          </w:p>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eastAsia="宋体" w:cs="Times New Roman"/>
                <w:b w:val="0"/>
                <w:bCs/>
                <w:sz w:val="20"/>
                <w:szCs w:val="20"/>
                <w:lang w:val="en-US" w:eastAsia="zh-CN"/>
              </w:rPr>
            </w:pPr>
            <w:r>
              <w:rPr>
                <w:rFonts w:ascii="Times New Roman" w:hAnsi="Times New Roman" w:eastAsia="MS PGothic" w:cs="Times New Roman"/>
                <w:bCs/>
                <w:sz w:val="20"/>
                <w:szCs w:val="20"/>
                <w:lang w:eastAsia="ja-JP"/>
              </w:rPr>
              <w:t>N</w:t>
            </w:r>
            <w:r>
              <w:rPr>
                <w:rFonts w:ascii="Times New Roman" w:hAnsi="Times New Roman" w:eastAsia="MS PGothic" w:cs="Times New Roman"/>
                <w:bCs/>
                <w:sz w:val="20"/>
                <w:szCs w:val="20"/>
                <w:vertAlign w:val="subscript"/>
                <w:lang w:eastAsia="ja-JP"/>
              </w:rPr>
              <w:t>T,1</w:t>
            </w:r>
            <w:r>
              <w:rPr>
                <w:rFonts w:ascii="Times New Roman" w:hAnsi="Times New Roman" w:eastAsia="MS PGothic" w:cs="Times New Roman"/>
                <w:bCs/>
                <w:sz w:val="20"/>
                <w:szCs w:val="20"/>
                <w:lang w:eastAsia="ja-JP"/>
              </w:rPr>
              <w:t xml:space="preserve"> + N</w:t>
            </w:r>
            <w:r>
              <w:rPr>
                <w:rFonts w:ascii="Times New Roman" w:hAnsi="Times New Roman" w:eastAsia="MS PGothic" w:cs="Times New Roman"/>
                <w:bCs/>
                <w:sz w:val="20"/>
                <w:szCs w:val="20"/>
                <w:vertAlign w:val="subscript"/>
                <w:lang w:eastAsia="ja-JP"/>
              </w:rPr>
              <w:t>T,2</w:t>
            </w:r>
            <w:r>
              <w:rPr>
                <w:rFonts w:ascii="Times New Roman" w:hAnsi="Times New Roman" w:eastAsia="MS PGothic" w:cs="Times New Roman"/>
                <w:bCs/>
                <w:sz w:val="20"/>
                <w:szCs w:val="20"/>
                <w:lang w:eastAsia="ja-JP"/>
              </w:rPr>
              <w:t xml:space="preserve"> + 0.5 + X</w:t>
            </w:r>
            <w:r>
              <w:rPr>
                <w:rFonts w:hint="eastAsia" w:ascii="Times New Roman" w:hAnsi="Times New Roman" w:cs="Times New Roman"/>
                <w:bCs/>
                <w:sz w:val="20"/>
                <w:szCs w:val="20"/>
                <w:lang w:val="en-US" w:eastAsia="zh-CN"/>
              </w:rPr>
              <w:t>=</w:t>
            </w:r>
            <w:r>
              <w:rPr>
                <w:rFonts w:hint="default" w:ascii="Times New Roman" w:hAnsi="Times New Roman" w:cs="Times New Roman"/>
                <w:bCs/>
                <w:sz w:val="20"/>
                <w:szCs w:val="20"/>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1</w:t>
            </w:r>
            <w:r>
              <w:rPr>
                <w:rFonts w:hint="default" w:ascii="Times New Roman" w:hAnsi="Times New Roman" w:cs="Times New Roman"/>
                <w:bCs/>
                <w:i/>
                <w:color w:val="000000"/>
                <w:vertAlign w:val="subscript"/>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2</w:t>
            </w:r>
            <w:r>
              <w:rPr>
                <w:rFonts w:hint="default" w:ascii="Times New Roman" w:hAnsi="Times New Roman" w:eastAsia="MS PGothic" w:cs="Times New Roman"/>
                <w:b w:val="0"/>
                <w:bCs/>
                <w:i w:val="0"/>
                <w:sz w:val="20"/>
                <w:szCs w:val="20"/>
                <w:vertAlign w:val="baseline"/>
                <w:lang w:val="en-US" w:eastAsia="ja-JP"/>
              </w:rPr>
              <w:t>+0.5ms</w:t>
            </w:r>
            <w:r>
              <w:rPr>
                <w:rFonts w:hint="default" w:ascii="Times New Roman" w:hAnsi="Times New Roman" w:cs="Times New Roman"/>
                <w:b w:val="0"/>
                <w:bCs/>
                <w:i w:val="0"/>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430" w:type="dxa"/>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default" w:ascii="Times New Roman" w:hAnsi="Times New Roman" w:cs="Times New Roman" w:eastAsiaTheme="minorEastAsia"/>
                <w:b w:val="0"/>
                <w:bCs/>
                <w:sz w:val="20"/>
                <w:szCs w:val="20"/>
                <w:vertAlign w:val="baseline"/>
                <w:lang w:val="en-US" w:eastAsia="zh-CN"/>
              </w:rPr>
              <w:t>0</w:t>
            </w:r>
          </w:p>
        </w:tc>
        <w:tc>
          <w:tcPr>
            <w:tcW w:w="2430" w:type="dxa"/>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eastAsia" w:ascii="Times New Roman" w:hAnsi="Times New Roman" w:cs="Times New Roman" w:eastAsiaTheme="minorEastAsia"/>
                <w:b w:val="0"/>
                <w:bCs/>
                <w:sz w:val="20"/>
                <w:szCs w:val="20"/>
                <w:vertAlign w:val="baseline"/>
                <w:lang w:val="en-US" w:eastAsia="zh-CN"/>
              </w:rPr>
              <w:t>14+10+7=31(symbol)</w:t>
            </w:r>
          </w:p>
        </w:tc>
        <w:tc>
          <w:tcPr>
            <w:tcW w:w="2430" w:type="dxa"/>
            <w:vAlign w:val="top"/>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eastAsia" w:ascii="Times New Roman" w:hAnsi="Times New Roman" w:cs="Times New Roman" w:eastAsiaTheme="minorEastAsia"/>
                <w:b w:val="0"/>
                <w:bCs/>
                <w:sz w:val="20"/>
                <w:szCs w:val="20"/>
                <w:vertAlign w:val="baseline"/>
                <w:lang w:val="en-US" w:eastAsia="zh-CN"/>
              </w:rPr>
              <w:t>14+10+7</w:t>
            </w:r>
            <w:r>
              <w:rPr>
                <w:rFonts w:hint="eastAsia" w:cs="Times New Roman" w:eastAsiaTheme="minorEastAsia"/>
                <w:b w:val="0"/>
                <w:bCs/>
                <w:sz w:val="20"/>
                <w:szCs w:val="20"/>
                <w:vertAlign w:val="baseline"/>
                <w:lang w:val="en-US" w:eastAsia="zh-CN"/>
              </w:rPr>
              <w:t>+7</w:t>
            </w:r>
            <w:r>
              <w:rPr>
                <w:rFonts w:hint="eastAsia" w:ascii="Times New Roman" w:hAnsi="Times New Roman" w:cs="Times New Roman" w:eastAsiaTheme="minorEastAsia"/>
                <w:b w:val="0"/>
                <w:bCs/>
                <w:sz w:val="20"/>
                <w:szCs w:val="20"/>
                <w:vertAlign w:val="baseline"/>
                <w:lang w:val="en-US" w:eastAsia="zh-CN"/>
              </w:rPr>
              <w:t>=3</w:t>
            </w:r>
            <w:r>
              <w:rPr>
                <w:rFonts w:hint="eastAsia" w:cs="Times New Roman" w:eastAsiaTheme="minorEastAsia"/>
                <w:b w:val="0"/>
                <w:bCs/>
                <w:sz w:val="20"/>
                <w:szCs w:val="20"/>
                <w:vertAlign w:val="baseline"/>
                <w:lang w:val="en-US" w:eastAsia="zh-CN"/>
              </w:rPr>
              <w:t>8</w:t>
            </w:r>
            <w:r>
              <w:rPr>
                <w:rFonts w:hint="eastAsia" w:ascii="Times New Roman" w:hAnsi="Times New Roman" w:cs="Times New Roman" w:eastAsiaTheme="minorEastAsia"/>
                <w:b w:val="0"/>
                <w:bCs/>
                <w:sz w:val="20"/>
                <w:szCs w:val="20"/>
                <w:vertAlign w:val="baseline"/>
                <w:lang w:val="en-US" w:eastAsia="zh-CN"/>
              </w:rPr>
              <w:t>(symbol)</w:t>
            </w:r>
          </w:p>
        </w:tc>
        <w:tc>
          <w:tcPr>
            <w:tcW w:w="2430" w:type="dxa"/>
            <w:vAlign w:val="top"/>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eastAsia" w:ascii="Times New Roman" w:hAnsi="Times New Roman" w:cs="Times New Roman" w:eastAsiaTheme="minorEastAsia"/>
                <w:b w:val="0"/>
                <w:bCs/>
                <w:sz w:val="20"/>
                <w:szCs w:val="20"/>
                <w:vertAlign w:val="baseline"/>
                <w:lang w:val="en-US" w:eastAsia="zh-CN"/>
              </w:rPr>
              <w:t>14+10+7</w:t>
            </w:r>
            <w:r>
              <w:rPr>
                <w:rFonts w:hint="eastAsia" w:cs="Times New Roman" w:eastAsiaTheme="minorEastAsia"/>
                <w:b w:val="0"/>
                <w:bCs/>
                <w:sz w:val="20"/>
                <w:szCs w:val="20"/>
                <w:vertAlign w:val="baseline"/>
                <w:lang w:val="en-US" w:eastAsia="zh-CN"/>
              </w:rPr>
              <w:t>+14</w:t>
            </w:r>
            <w:r>
              <w:rPr>
                <w:rFonts w:hint="eastAsia" w:ascii="Times New Roman" w:hAnsi="Times New Roman" w:cs="Times New Roman" w:eastAsiaTheme="minorEastAsia"/>
                <w:b w:val="0"/>
                <w:bCs/>
                <w:sz w:val="20"/>
                <w:szCs w:val="20"/>
                <w:vertAlign w:val="baseline"/>
                <w:lang w:val="en-US" w:eastAsia="zh-CN"/>
              </w:rPr>
              <w:t>=</w:t>
            </w:r>
            <w:r>
              <w:rPr>
                <w:rFonts w:hint="eastAsia" w:cs="Times New Roman" w:eastAsiaTheme="minorEastAsia"/>
                <w:b w:val="0"/>
                <w:bCs/>
                <w:sz w:val="20"/>
                <w:szCs w:val="20"/>
                <w:vertAlign w:val="baseline"/>
                <w:lang w:val="en-US" w:eastAsia="zh-CN"/>
              </w:rPr>
              <w:t>45</w:t>
            </w:r>
            <w:r>
              <w:rPr>
                <w:rFonts w:hint="eastAsia" w:ascii="Times New Roman" w:hAnsi="Times New Roman" w:cs="Times New Roman" w:eastAsiaTheme="minorEastAsia"/>
                <w:b w:val="0"/>
                <w:bCs/>
                <w:sz w:val="20"/>
                <w:szCs w:val="20"/>
                <w:vertAlign w:val="baseline"/>
                <w:lang w:val="en-US"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430" w:type="dxa"/>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default" w:ascii="Times New Roman" w:hAnsi="Times New Roman" w:cs="Times New Roman" w:eastAsiaTheme="minorEastAsia"/>
                <w:b w:val="0"/>
                <w:bCs/>
                <w:sz w:val="20"/>
                <w:szCs w:val="20"/>
                <w:vertAlign w:val="baseline"/>
                <w:lang w:val="en-US" w:eastAsia="zh-CN"/>
              </w:rPr>
              <w:t>1</w:t>
            </w:r>
          </w:p>
        </w:tc>
        <w:tc>
          <w:tcPr>
            <w:tcW w:w="2430" w:type="dxa"/>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eastAsia" w:ascii="Times New Roman" w:hAnsi="Times New Roman" w:cs="Times New Roman" w:eastAsiaTheme="minorEastAsia"/>
                <w:b w:val="0"/>
                <w:bCs/>
                <w:sz w:val="20"/>
                <w:szCs w:val="20"/>
                <w:vertAlign w:val="baseline"/>
                <w:lang w:val="en-US" w:eastAsia="zh-CN"/>
              </w:rPr>
              <w:t>1</w:t>
            </w:r>
            <w:r>
              <w:rPr>
                <w:rFonts w:hint="eastAsia" w:cs="Times New Roman" w:eastAsiaTheme="minorEastAsia"/>
                <w:b w:val="0"/>
                <w:bCs/>
                <w:sz w:val="20"/>
                <w:szCs w:val="20"/>
                <w:vertAlign w:val="baseline"/>
                <w:lang w:val="en-US" w:eastAsia="zh-CN"/>
              </w:rPr>
              <w:t>3</w:t>
            </w:r>
            <w:r>
              <w:rPr>
                <w:rFonts w:hint="eastAsia" w:ascii="Times New Roman" w:hAnsi="Times New Roman" w:cs="Times New Roman" w:eastAsiaTheme="minorEastAsia"/>
                <w:b w:val="0"/>
                <w:bCs/>
                <w:sz w:val="20"/>
                <w:szCs w:val="20"/>
                <w:vertAlign w:val="baseline"/>
                <w:lang w:val="en-US" w:eastAsia="zh-CN"/>
              </w:rPr>
              <w:t>+1</w:t>
            </w:r>
            <w:r>
              <w:rPr>
                <w:rFonts w:hint="eastAsia" w:cs="Times New Roman" w:eastAsiaTheme="minorEastAsia"/>
                <w:b w:val="0"/>
                <w:bCs/>
                <w:sz w:val="20"/>
                <w:szCs w:val="20"/>
                <w:vertAlign w:val="baseline"/>
                <w:lang w:val="en-US" w:eastAsia="zh-CN"/>
              </w:rPr>
              <w:t>2</w:t>
            </w:r>
            <w:r>
              <w:rPr>
                <w:rFonts w:hint="eastAsia" w:ascii="Times New Roman" w:hAnsi="Times New Roman" w:cs="Times New Roman" w:eastAsiaTheme="minorEastAsia"/>
                <w:b w:val="0"/>
                <w:bCs/>
                <w:sz w:val="20"/>
                <w:szCs w:val="20"/>
                <w:vertAlign w:val="baseline"/>
                <w:lang w:val="en-US" w:eastAsia="zh-CN"/>
              </w:rPr>
              <w:t>+</w:t>
            </w:r>
            <w:r>
              <w:rPr>
                <w:rFonts w:hint="eastAsia" w:cs="Times New Roman" w:eastAsiaTheme="minorEastAsia"/>
                <w:b w:val="0"/>
                <w:bCs/>
                <w:sz w:val="20"/>
                <w:szCs w:val="20"/>
                <w:vertAlign w:val="baseline"/>
                <w:lang w:val="en-US" w:eastAsia="zh-CN"/>
              </w:rPr>
              <w:t>14</w:t>
            </w:r>
            <w:r>
              <w:rPr>
                <w:rFonts w:hint="eastAsia" w:ascii="Times New Roman" w:hAnsi="Times New Roman" w:cs="Times New Roman" w:eastAsiaTheme="minorEastAsia"/>
                <w:b w:val="0"/>
                <w:bCs/>
                <w:sz w:val="20"/>
                <w:szCs w:val="20"/>
                <w:vertAlign w:val="baseline"/>
                <w:lang w:val="en-US" w:eastAsia="zh-CN"/>
              </w:rPr>
              <w:t>=3</w:t>
            </w:r>
            <w:r>
              <w:rPr>
                <w:rFonts w:hint="eastAsia" w:cs="Times New Roman" w:eastAsiaTheme="minorEastAsia"/>
                <w:b w:val="0"/>
                <w:bCs/>
                <w:sz w:val="20"/>
                <w:szCs w:val="20"/>
                <w:vertAlign w:val="baseline"/>
                <w:lang w:val="en-US" w:eastAsia="zh-CN"/>
              </w:rPr>
              <w:t>9</w:t>
            </w:r>
            <w:r>
              <w:rPr>
                <w:rFonts w:hint="eastAsia" w:ascii="Times New Roman" w:hAnsi="Times New Roman" w:cs="Times New Roman" w:eastAsiaTheme="minorEastAsia"/>
                <w:b w:val="0"/>
                <w:bCs/>
                <w:sz w:val="20"/>
                <w:szCs w:val="20"/>
                <w:vertAlign w:val="baseline"/>
                <w:lang w:val="en-US" w:eastAsia="zh-CN"/>
              </w:rPr>
              <w:t>(symbol)</w:t>
            </w:r>
          </w:p>
        </w:tc>
        <w:tc>
          <w:tcPr>
            <w:tcW w:w="2430" w:type="dxa"/>
            <w:vAlign w:val="top"/>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eastAsia" w:ascii="Times New Roman" w:hAnsi="Times New Roman" w:cs="Times New Roman" w:eastAsiaTheme="minorEastAsia"/>
                <w:b w:val="0"/>
                <w:bCs/>
                <w:sz w:val="20"/>
                <w:szCs w:val="20"/>
                <w:vertAlign w:val="baseline"/>
                <w:lang w:val="en-US" w:eastAsia="zh-CN"/>
              </w:rPr>
              <w:t>1</w:t>
            </w:r>
            <w:r>
              <w:rPr>
                <w:rFonts w:hint="eastAsia" w:cs="Times New Roman" w:eastAsiaTheme="minorEastAsia"/>
                <w:b w:val="0"/>
                <w:bCs/>
                <w:sz w:val="20"/>
                <w:szCs w:val="20"/>
                <w:vertAlign w:val="baseline"/>
                <w:lang w:val="en-US" w:eastAsia="zh-CN"/>
              </w:rPr>
              <w:t>3</w:t>
            </w:r>
            <w:r>
              <w:rPr>
                <w:rFonts w:hint="eastAsia" w:ascii="Times New Roman" w:hAnsi="Times New Roman" w:cs="Times New Roman" w:eastAsiaTheme="minorEastAsia"/>
                <w:b w:val="0"/>
                <w:bCs/>
                <w:sz w:val="20"/>
                <w:szCs w:val="20"/>
                <w:vertAlign w:val="baseline"/>
                <w:lang w:val="en-US" w:eastAsia="zh-CN"/>
              </w:rPr>
              <w:t>+1</w:t>
            </w:r>
            <w:r>
              <w:rPr>
                <w:rFonts w:hint="eastAsia" w:cs="Times New Roman" w:eastAsiaTheme="minorEastAsia"/>
                <w:b w:val="0"/>
                <w:bCs/>
                <w:sz w:val="20"/>
                <w:szCs w:val="20"/>
                <w:vertAlign w:val="baseline"/>
                <w:lang w:val="en-US" w:eastAsia="zh-CN"/>
              </w:rPr>
              <w:t>2</w:t>
            </w:r>
            <w:r>
              <w:rPr>
                <w:rFonts w:hint="eastAsia" w:ascii="Times New Roman" w:hAnsi="Times New Roman" w:cs="Times New Roman" w:eastAsiaTheme="minorEastAsia"/>
                <w:b w:val="0"/>
                <w:bCs/>
                <w:sz w:val="20"/>
                <w:szCs w:val="20"/>
                <w:vertAlign w:val="baseline"/>
                <w:lang w:val="en-US" w:eastAsia="zh-CN"/>
              </w:rPr>
              <w:t>+</w:t>
            </w:r>
            <w:r>
              <w:rPr>
                <w:rFonts w:hint="eastAsia" w:cs="Times New Roman" w:eastAsiaTheme="minorEastAsia"/>
                <w:b w:val="0"/>
                <w:bCs/>
                <w:sz w:val="20"/>
                <w:szCs w:val="20"/>
                <w:vertAlign w:val="baseline"/>
                <w:lang w:val="en-US" w:eastAsia="zh-CN"/>
              </w:rPr>
              <w:t>14+7</w:t>
            </w:r>
            <w:r>
              <w:rPr>
                <w:rFonts w:hint="eastAsia" w:ascii="Times New Roman" w:hAnsi="Times New Roman" w:cs="Times New Roman" w:eastAsiaTheme="minorEastAsia"/>
                <w:b w:val="0"/>
                <w:bCs/>
                <w:sz w:val="20"/>
                <w:szCs w:val="20"/>
                <w:vertAlign w:val="baseline"/>
                <w:lang w:val="en-US" w:eastAsia="zh-CN"/>
              </w:rPr>
              <w:t>=</w:t>
            </w:r>
            <w:r>
              <w:rPr>
                <w:rFonts w:hint="eastAsia" w:cs="Times New Roman" w:eastAsiaTheme="minorEastAsia"/>
                <w:b w:val="0"/>
                <w:bCs/>
                <w:sz w:val="20"/>
                <w:szCs w:val="20"/>
                <w:vertAlign w:val="baseline"/>
                <w:lang w:val="en-US" w:eastAsia="zh-CN"/>
              </w:rPr>
              <w:t>46</w:t>
            </w:r>
            <w:r>
              <w:rPr>
                <w:rFonts w:hint="eastAsia" w:ascii="Times New Roman" w:hAnsi="Times New Roman" w:cs="Times New Roman" w:eastAsiaTheme="minorEastAsia"/>
                <w:b w:val="0"/>
                <w:bCs/>
                <w:sz w:val="20"/>
                <w:szCs w:val="20"/>
                <w:vertAlign w:val="baseline"/>
                <w:lang w:val="en-US" w:eastAsia="zh-CN"/>
              </w:rPr>
              <w:t>(symbol)</w:t>
            </w:r>
          </w:p>
        </w:tc>
        <w:tc>
          <w:tcPr>
            <w:tcW w:w="2430" w:type="dxa"/>
            <w:vAlign w:val="top"/>
          </w:tcPr>
          <w:p>
            <w:pPr>
              <w:overflowPunct w:val="0"/>
              <w:autoSpaceDE w:val="0"/>
              <w:autoSpaceDN w:val="0"/>
              <w:adjustRightInd w:val="0"/>
              <w:spacing w:before="60" w:beforeLines="0" w:after="60" w:afterLines="0" w:line="360" w:lineRule="auto"/>
              <w:jc w:val="center"/>
              <w:textAlignment w:val="baseline"/>
              <w:rPr>
                <w:rFonts w:hint="default" w:ascii="Times New Roman" w:hAnsi="Times New Roman" w:cs="Times New Roman" w:eastAsiaTheme="minorEastAsia"/>
                <w:b w:val="0"/>
                <w:bCs/>
                <w:sz w:val="20"/>
                <w:szCs w:val="20"/>
                <w:vertAlign w:val="baseline"/>
                <w:lang w:val="en-US" w:eastAsia="zh-CN"/>
              </w:rPr>
            </w:pPr>
            <w:r>
              <w:rPr>
                <w:rFonts w:hint="eastAsia" w:ascii="Times New Roman" w:hAnsi="Times New Roman" w:cs="Times New Roman" w:eastAsiaTheme="minorEastAsia"/>
                <w:b w:val="0"/>
                <w:bCs/>
                <w:sz w:val="20"/>
                <w:szCs w:val="20"/>
                <w:vertAlign w:val="baseline"/>
                <w:lang w:val="en-US" w:eastAsia="zh-CN"/>
              </w:rPr>
              <w:t>1</w:t>
            </w:r>
            <w:r>
              <w:rPr>
                <w:rFonts w:hint="eastAsia" w:cs="Times New Roman" w:eastAsiaTheme="minorEastAsia"/>
                <w:b w:val="0"/>
                <w:bCs/>
                <w:sz w:val="20"/>
                <w:szCs w:val="20"/>
                <w:vertAlign w:val="baseline"/>
                <w:lang w:val="en-US" w:eastAsia="zh-CN"/>
              </w:rPr>
              <w:t>3</w:t>
            </w:r>
            <w:r>
              <w:rPr>
                <w:rFonts w:hint="eastAsia" w:ascii="Times New Roman" w:hAnsi="Times New Roman" w:cs="Times New Roman" w:eastAsiaTheme="minorEastAsia"/>
                <w:b w:val="0"/>
                <w:bCs/>
                <w:sz w:val="20"/>
                <w:szCs w:val="20"/>
                <w:vertAlign w:val="baseline"/>
                <w:lang w:val="en-US" w:eastAsia="zh-CN"/>
              </w:rPr>
              <w:t>+1</w:t>
            </w:r>
            <w:r>
              <w:rPr>
                <w:rFonts w:hint="eastAsia" w:cs="Times New Roman" w:eastAsiaTheme="minorEastAsia"/>
                <w:b w:val="0"/>
                <w:bCs/>
                <w:sz w:val="20"/>
                <w:szCs w:val="20"/>
                <w:vertAlign w:val="baseline"/>
                <w:lang w:val="en-US" w:eastAsia="zh-CN"/>
              </w:rPr>
              <w:t>2</w:t>
            </w:r>
            <w:r>
              <w:rPr>
                <w:rFonts w:hint="eastAsia" w:ascii="Times New Roman" w:hAnsi="Times New Roman" w:cs="Times New Roman" w:eastAsiaTheme="minorEastAsia"/>
                <w:b w:val="0"/>
                <w:bCs/>
                <w:sz w:val="20"/>
                <w:szCs w:val="20"/>
                <w:vertAlign w:val="baseline"/>
                <w:lang w:val="en-US" w:eastAsia="zh-CN"/>
              </w:rPr>
              <w:t>+</w:t>
            </w:r>
            <w:r>
              <w:rPr>
                <w:rFonts w:hint="eastAsia" w:cs="Times New Roman" w:eastAsiaTheme="minorEastAsia"/>
                <w:b w:val="0"/>
                <w:bCs/>
                <w:sz w:val="20"/>
                <w:szCs w:val="20"/>
                <w:vertAlign w:val="baseline"/>
                <w:lang w:val="en-US" w:eastAsia="zh-CN"/>
              </w:rPr>
              <w:t>14+14</w:t>
            </w:r>
            <w:r>
              <w:rPr>
                <w:rFonts w:hint="eastAsia" w:ascii="Times New Roman" w:hAnsi="Times New Roman" w:cs="Times New Roman" w:eastAsiaTheme="minorEastAsia"/>
                <w:b w:val="0"/>
                <w:bCs/>
                <w:sz w:val="20"/>
                <w:szCs w:val="20"/>
                <w:vertAlign w:val="baseline"/>
                <w:lang w:val="en-US" w:eastAsia="zh-CN"/>
              </w:rPr>
              <w:t>=</w:t>
            </w:r>
            <w:r>
              <w:rPr>
                <w:rFonts w:hint="eastAsia" w:cs="Times New Roman" w:eastAsiaTheme="minorEastAsia"/>
                <w:b w:val="0"/>
                <w:bCs/>
                <w:sz w:val="20"/>
                <w:szCs w:val="20"/>
                <w:vertAlign w:val="baseline"/>
                <w:lang w:val="en-US" w:eastAsia="zh-CN"/>
              </w:rPr>
              <w:t>53</w:t>
            </w:r>
            <w:r>
              <w:rPr>
                <w:rFonts w:hint="eastAsia" w:ascii="Times New Roman" w:hAnsi="Times New Roman" w:cs="Times New Roman" w:eastAsiaTheme="minorEastAsia"/>
                <w:b w:val="0"/>
                <w:bCs/>
                <w:sz w:val="20"/>
                <w:szCs w:val="20"/>
                <w:vertAlign w:val="baseline"/>
                <w:lang w:val="en-US" w:eastAsia="zh-CN"/>
              </w:rPr>
              <w:t>(symbol)</w:t>
            </w:r>
          </w:p>
        </w:tc>
      </w:tr>
    </w:tbl>
    <w:p>
      <w:pPr>
        <w:spacing w:before="60" w:beforeLines="0" w:after="60" w:afterLines="0" w:line="360" w:lineRule="auto"/>
        <w:jc w:val="both"/>
        <w:rPr>
          <w:rFonts w:hint="default" w:eastAsia="Microsoft YaHei UI"/>
          <w:b w:val="0"/>
          <w:sz w:val="20"/>
          <w:szCs w:val="20"/>
          <w:lang w:val="en-US" w:eastAsia="zh-CN"/>
        </w:rPr>
      </w:pPr>
      <w:r>
        <w:rPr>
          <w:rFonts w:hint="default" w:eastAsia="Microsoft YaHei UI"/>
          <w:b w:val="0"/>
          <w:sz w:val="20"/>
          <w:szCs w:val="20"/>
          <w:lang w:val="en-US" w:eastAsia="zh-CN"/>
        </w:rPr>
        <w:t>According to TS 38.214, if RAR PDSCH is transmitted in slot n, Msg3 is transmitted in slot n+</w:t>
      </w:r>
      <w:r>
        <w:rPr>
          <w:i/>
        </w:rPr>
        <w:t>K</w:t>
      </w:r>
      <w:r>
        <w:rPr>
          <w:i/>
          <w:vertAlign w:val="subscript"/>
        </w:rPr>
        <w:t>2</w:t>
      </w:r>
      <w:r>
        <w:rPr>
          <w:rFonts w:hint="default" w:eastAsia="Microsoft YaHei UI"/>
          <w:b w:val="0"/>
          <w:sz w:val="20"/>
          <w:szCs w:val="20"/>
          <w:lang w:val="en-US" w:eastAsia="zh-CN"/>
        </w:rPr>
        <w:t xml:space="preserve">+Δ, where </w:t>
      </w:r>
      <w:r>
        <w:rPr>
          <w:i/>
        </w:rPr>
        <w:t>K</w:t>
      </w:r>
      <w:r>
        <w:rPr>
          <w:i/>
          <w:vertAlign w:val="subscript"/>
        </w:rPr>
        <w:t>2</w:t>
      </w:r>
      <w:r>
        <w:rPr>
          <w:rFonts w:hint="default" w:eastAsia="Microsoft YaHei UI"/>
          <w:b w:val="0"/>
          <w:sz w:val="20"/>
          <w:szCs w:val="20"/>
          <w:lang w:val="en-US" w:eastAsia="zh-CN"/>
        </w:rPr>
        <w:t xml:space="preserve"> and Δ are respectively determined</w:t>
      </w:r>
      <w:r>
        <w:rPr>
          <w:rFonts w:hint="eastAsia" w:eastAsia="Microsoft YaHei UI"/>
          <w:b w:val="0"/>
          <w:sz w:val="20"/>
          <w:szCs w:val="20"/>
          <w:lang w:val="en-US" w:eastAsia="zh-CN"/>
        </w:rPr>
        <w:t xml:space="preserve"> </w:t>
      </w:r>
      <w:r>
        <w:rPr>
          <w:rFonts w:hint="default" w:eastAsia="Microsoft YaHei UI"/>
          <w:b w:val="0"/>
          <w:sz w:val="20"/>
          <w:szCs w:val="20"/>
          <w:lang w:val="en-US" w:eastAsia="zh-CN"/>
        </w:rPr>
        <w:t xml:space="preserve">by </w:t>
      </w:r>
      <w:r>
        <w:rPr>
          <w:rFonts w:hint="eastAsia" w:eastAsia="Microsoft YaHei UI"/>
          <w:b w:val="0"/>
          <w:sz w:val="20"/>
          <w:szCs w:val="20"/>
          <w:lang w:val="en-US" w:eastAsia="zh-CN"/>
        </w:rPr>
        <w:t xml:space="preserve">the </w:t>
      </w:r>
      <w:r>
        <w:rPr>
          <w:rFonts w:hint="default" w:eastAsia="Microsoft YaHei UI"/>
          <w:b w:val="0"/>
          <w:sz w:val="20"/>
          <w:szCs w:val="20"/>
          <w:lang w:val="en-US" w:eastAsia="zh-CN"/>
        </w:rPr>
        <w:t>default TDRA tables 6.1.2.1.1-2 and 6.1.2.1.1-5</w:t>
      </w:r>
      <w:r>
        <w:rPr>
          <w:rFonts w:hint="eastAsia" w:eastAsia="Microsoft YaHei UI"/>
          <w:b w:val="0"/>
          <w:sz w:val="20"/>
          <w:szCs w:val="20"/>
          <w:lang w:val="en-US" w:eastAsia="zh-CN"/>
        </w:rPr>
        <w:t xml:space="preserve"> </w:t>
      </w:r>
      <w:r>
        <w:rPr>
          <w:rFonts w:hint="default" w:eastAsia="Microsoft YaHei UI"/>
          <w:b w:val="0"/>
          <w:sz w:val="20"/>
          <w:szCs w:val="20"/>
          <w:lang w:val="en-US" w:eastAsia="zh-CN"/>
        </w:rPr>
        <w:t xml:space="preserve">in TS 38.214. Further, according to the minimum processing time requirements of RAR PDSCH and Msg3 given in Table 1, the available row index of </w:t>
      </w:r>
      <w:r>
        <w:rPr>
          <w:i/>
        </w:rPr>
        <w:t>K</w:t>
      </w:r>
      <w:r>
        <w:rPr>
          <w:i/>
          <w:vertAlign w:val="subscript"/>
        </w:rPr>
        <w:t>2</w:t>
      </w:r>
      <w:r>
        <w:rPr>
          <w:rFonts w:hint="default" w:eastAsia="Microsoft YaHei UI"/>
          <w:b w:val="0"/>
          <w:sz w:val="20"/>
          <w:szCs w:val="20"/>
          <w:lang w:val="en-US" w:eastAsia="zh-CN"/>
        </w:rPr>
        <w:t xml:space="preserve"> that meets Msg3 scheduling </w:t>
      </w:r>
      <w:r>
        <w:rPr>
          <w:rFonts w:hint="eastAsia" w:eastAsia="Microsoft YaHei UI"/>
          <w:b w:val="0"/>
          <w:sz w:val="20"/>
          <w:szCs w:val="20"/>
          <w:lang w:val="en-US" w:eastAsia="zh-CN"/>
        </w:rPr>
        <w:t xml:space="preserve">requirements </w:t>
      </w:r>
      <w:r>
        <w:rPr>
          <w:rFonts w:hint="default" w:eastAsia="Microsoft YaHei UI"/>
          <w:b w:val="0"/>
          <w:sz w:val="20"/>
          <w:szCs w:val="20"/>
          <w:lang w:val="en-US" w:eastAsia="zh-CN"/>
        </w:rPr>
        <w:t xml:space="preserve">in the default TDRA table 6.1.2.1.1-2 can be obtained. Specifically, </w:t>
      </w:r>
      <w:r>
        <w:rPr>
          <w:rFonts w:hint="eastAsia" w:eastAsia="Microsoft YaHei UI"/>
          <w:b w:val="0"/>
          <w:sz w:val="20"/>
          <w:szCs w:val="20"/>
          <w:lang w:val="en-US" w:eastAsia="zh-CN"/>
        </w:rPr>
        <w:t>the a</w:t>
      </w:r>
      <w:r>
        <w:rPr>
          <w:rFonts w:hint="default" w:eastAsia="Microsoft YaHei UI"/>
          <w:b w:val="0"/>
          <w:sz w:val="20"/>
          <w:szCs w:val="20"/>
          <w:lang w:val="en-US" w:eastAsia="zh-CN"/>
        </w:rPr>
        <w:t>vailable row indexes that meet Msg3 scheduling</w:t>
      </w:r>
      <w:r>
        <w:rPr>
          <w:rFonts w:hint="eastAsia" w:eastAsia="Microsoft YaHei UI"/>
          <w:b w:val="0"/>
          <w:sz w:val="20"/>
          <w:szCs w:val="20"/>
          <w:lang w:val="en-US" w:eastAsia="zh-CN"/>
        </w:rPr>
        <w:t xml:space="preserve"> requirements in d</w:t>
      </w:r>
      <w:r>
        <w:rPr>
          <w:rFonts w:hint="default" w:eastAsia="Microsoft YaHei UI"/>
          <w:b w:val="0"/>
          <w:sz w:val="20"/>
          <w:szCs w:val="20"/>
          <w:lang w:val="en-US" w:eastAsia="zh-CN"/>
        </w:rPr>
        <w:t xml:space="preserve">efault TDRA Table 6.1.2.1.1-2 are shown in Table 2. </w:t>
      </w:r>
    </w:p>
    <w:p>
      <w:pPr>
        <w:spacing w:before="60" w:beforeLines="0" w:after="60" w:afterLines="0" w:line="360" w:lineRule="auto"/>
        <w:jc w:val="center"/>
        <w:rPr>
          <w:rFonts w:hint="default" w:eastAsia="Microsoft YaHei UI"/>
          <w:b w:val="0"/>
          <w:sz w:val="20"/>
          <w:szCs w:val="20"/>
          <w:lang w:val="en-US" w:eastAsia="zh-CN"/>
        </w:rPr>
      </w:pPr>
      <w:r>
        <w:rPr>
          <w:rFonts w:hint="default" w:eastAsia="Microsoft YaHei UI"/>
          <w:b w:val="0"/>
          <w:sz w:val="20"/>
          <w:szCs w:val="20"/>
          <w:lang w:val="en-US" w:eastAsia="zh-CN"/>
        </w:rPr>
        <w:t xml:space="preserve">Table 2 </w:t>
      </w:r>
      <w:r>
        <w:rPr>
          <w:rFonts w:hint="eastAsia" w:eastAsia="Microsoft YaHei UI"/>
          <w:b w:val="0"/>
          <w:sz w:val="20"/>
          <w:szCs w:val="20"/>
          <w:lang w:val="en-US" w:eastAsia="zh-CN"/>
        </w:rPr>
        <w:t xml:space="preserve"> the a</w:t>
      </w:r>
      <w:r>
        <w:rPr>
          <w:rFonts w:hint="default" w:eastAsia="Microsoft YaHei UI"/>
          <w:b w:val="0"/>
          <w:sz w:val="20"/>
          <w:szCs w:val="20"/>
          <w:lang w:val="en-US" w:eastAsia="zh-CN"/>
        </w:rPr>
        <w:t>vailable row indexes that meet Msg3 scheduling</w:t>
      </w:r>
      <w:r>
        <w:rPr>
          <w:rFonts w:hint="eastAsia" w:eastAsia="Microsoft YaHei UI"/>
          <w:b w:val="0"/>
          <w:sz w:val="20"/>
          <w:szCs w:val="20"/>
          <w:lang w:val="en-US" w:eastAsia="zh-CN"/>
        </w:rPr>
        <w:t xml:space="preserve"> requirements in d</w:t>
      </w:r>
      <w:r>
        <w:rPr>
          <w:rFonts w:hint="default" w:eastAsia="Microsoft YaHei UI"/>
          <w:b w:val="0"/>
          <w:sz w:val="20"/>
          <w:szCs w:val="20"/>
          <w:lang w:val="en-US" w:eastAsia="zh-CN"/>
        </w:rPr>
        <w:t>efault TDRA Table 6.1.2.1.1-2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gridCol w:w="243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2430" w:type="dxa"/>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m:oMathPara>
              <m:oMath>
                <m:r>
                  <m:rPr/>
                  <w:rPr>
                    <w:rFonts w:hint="default" w:ascii="Cambria Math" w:hAnsi="Cambria Math" w:eastAsia="MS PGothic" w:cs="Times New Roman"/>
                    <w:sz w:val="20"/>
                    <w:szCs w:val="20"/>
                    <w:lang w:val="en-GB" w:eastAsia="ja-JP"/>
                  </w:rPr>
                  <m:t>μ</m:t>
                </m:r>
              </m:oMath>
            </m:oMathPara>
          </w:p>
        </w:tc>
        <w:tc>
          <w:tcPr>
            <w:tcW w:w="2430" w:type="dxa"/>
          </w:tcPr>
          <w:p>
            <w:pPr>
              <w:pStyle w:val="13"/>
              <w:spacing w:before="60" w:beforeLines="0" w:after="60" w:afterLines="0" w:line="360" w:lineRule="auto"/>
              <w:jc w:val="center"/>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RAR BW ≤ 5 MHz</w:t>
            </w:r>
          </w:p>
          <w:p>
            <w:pPr>
              <w:pStyle w:val="13"/>
              <w:spacing w:before="60" w:beforeLines="0" w:after="60" w:afterLines="0" w:line="360" w:lineRule="auto"/>
              <w:jc w:val="center"/>
              <w:rPr>
                <w:rFonts w:hint="default" w:ascii="Times New Roman" w:hAnsi="Times New Roman" w:eastAsia="宋体" w:cs="Times New Roman"/>
                <w:b w:val="0"/>
                <w:bCs/>
                <w:sz w:val="20"/>
                <w:szCs w:val="20"/>
                <w:lang w:val="en-US" w:eastAsia="zh-CN"/>
              </w:rPr>
            </w:pPr>
          </w:p>
        </w:tc>
        <w:tc>
          <w:tcPr>
            <w:tcW w:w="2430" w:type="dxa"/>
          </w:tcPr>
          <w:p>
            <w:pPr>
              <w:pStyle w:val="13"/>
              <w:jc w:val="center"/>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RAR BW &gt; 5 MHz</w:t>
            </w:r>
          </w:p>
          <w:p>
            <w:pPr>
              <w:pStyle w:val="13"/>
              <w:spacing w:before="60" w:beforeLines="0" w:after="60" w:afterLines="0" w:line="360" w:lineRule="auto"/>
              <w:jc w:val="center"/>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with X = 0.5 / 0.25 ms</w:t>
            </w:r>
          </w:p>
          <w:p>
            <w:pPr>
              <w:pStyle w:val="13"/>
              <w:spacing w:before="60" w:beforeLines="0" w:after="60" w:afterLines="0" w:line="360" w:lineRule="auto"/>
              <w:jc w:val="center"/>
              <w:rPr>
                <w:rFonts w:hint="default" w:ascii="Times New Roman" w:hAnsi="Times New Roman" w:eastAsia="宋体" w:cs="Times New Roman"/>
                <w:b w:val="0"/>
                <w:bCs/>
                <w:sz w:val="20"/>
                <w:szCs w:val="20"/>
                <w:lang w:val="en-US" w:eastAsia="zh-CN"/>
              </w:rPr>
            </w:pPr>
            <w:r>
              <w:rPr>
                <w:rFonts w:ascii="Times New Roman" w:hAnsi="Times New Roman" w:eastAsia="MS PGothic" w:cs="Times New Roman"/>
                <w:bCs/>
                <w:sz w:val="20"/>
                <w:szCs w:val="20"/>
                <w:lang w:eastAsia="ja-JP"/>
              </w:rPr>
              <w:t>N</w:t>
            </w:r>
            <w:r>
              <w:rPr>
                <w:rFonts w:ascii="Times New Roman" w:hAnsi="Times New Roman" w:eastAsia="MS PGothic" w:cs="Times New Roman"/>
                <w:bCs/>
                <w:sz w:val="20"/>
                <w:szCs w:val="20"/>
                <w:vertAlign w:val="subscript"/>
                <w:lang w:eastAsia="ja-JP"/>
              </w:rPr>
              <w:t>T,1</w:t>
            </w:r>
            <w:r>
              <w:rPr>
                <w:rFonts w:ascii="Times New Roman" w:hAnsi="Times New Roman" w:eastAsia="MS PGothic" w:cs="Times New Roman"/>
                <w:bCs/>
                <w:sz w:val="20"/>
                <w:szCs w:val="20"/>
                <w:lang w:eastAsia="ja-JP"/>
              </w:rPr>
              <w:t xml:space="preserve"> + N</w:t>
            </w:r>
            <w:r>
              <w:rPr>
                <w:rFonts w:ascii="Times New Roman" w:hAnsi="Times New Roman" w:eastAsia="MS PGothic" w:cs="Times New Roman"/>
                <w:bCs/>
                <w:sz w:val="20"/>
                <w:szCs w:val="20"/>
                <w:vertAlign w:val="subscript"/>
                <w:lang w:eastAsia="ja-JP"/>
              </w:rPr>
              <w:t>T,2</w:t>
            </w:r>
            <w:r>
              <w:rPr>
                <w:rFonts w:ascii="Times New Roman" w:hAnsi="Times New Roman" w:eastAsia="MS PGothic" w:cs="Times New Roman"/>
                <w:bCs/>
                <w:sz w:val="20"/>
                <w:szCs w:val="20"/>
                <w:lang w:eastAsia="ja-JP"/>
              </w:rPr>
              <w:t xml:space="preserve"> + 0.5 + X</w:t>
            </w:r>
            <w:r>
              <w:rPr>
                <w:rFonts w:hint="eastAsia" w:ascii="Times New Roman" w:hAnsi="Times New Roman" w:cs="Times New Roman"/>
                <w:bCs/>
                <w:sz w:val="20"/>
                <w:szCs w:val="20"/>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1</w:t>
            </w:r>
            <w:r>
              <w:rPr>
                <w:rFonts w:hint="default" w:ascii="Times New Roman" w:hAnsi="Times New Roman" w:cs="Times New Roman"/>
                <w:bCs/>
                <w:i/>
                <w:color w:val="000000"/>
                <w:vertAlign w:val="subscript"/>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2</w:t>
            </w:r>
            <w:r>
              <w:rPr>
                <w:rFonts w:hint="default" w:ascii="Times New Roman" w:hAnsi="Times New Roman" w:eastAsia="MS PGothic" w:cs="Times New Roman"/>
                <w:b w:val="0"/>
                <w:bCs/>
                <w:i w:val="0"/>
                <w:sz w:val="20"/>
                <w:szCs w:val="20"/>
                <w:vertAlign w:val="baseline"/>
                <w:lang w:val="en-US" w:eastAsia="ja-JP"/>
              </w:rPr>
              <w:t>+0.5ms</w:t>
            </w:r>
            <w:r>
              <w:rPr>
                <w:rFonts w:hint="default" w:ascii="Times New Roman" w:hAnsi="Times New Roman" w:cs="Times New Roman"/>
                <w:b w:val="0"/>
                <w:bCs/>
                <w:i w:val="0"/>
                <w:sz w:val="20"/>
                <w:szCs w:val="20"/>
                <w:vertAlign w:val="baseline"/>
                <w:lang w:val="en-US" w:eastAsia="zh-CN"/>
              </w:rPr>
              <w:t>+X</w:t>
            </w:r>
          </w:p>
        </w:tc>
        <w:tc>
          <w:tcPr>
            <w:tcW w:w="2430" w:type="dxa"/>
          </w:tcPr>
          <w:p>
            <w:pPr>
              <w:pStyle w:val="13"/>
              <w:jc w:val="center"/>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RAR BW &gt; 5 MHz</w:t>
            </w:r>
          </w:p>
          <w:p>
            <w:pPr>
              <w:pStyle w:val="13"/>
              <w:jc w:val="center"/>
              <w:rPr>
                <w:rFonts w:ascii="Times New Roman" w:hAnsi="Times New Roman" w:eastAsia="MS PGothic" w:cs="Times New Roman"/>
                <w:b w:val="0"/>
                <w:bCs/>
                <w:sz w:val="20"/>
                <w:szCs w:val="20"/>
                <w:lang w:eastAsia="ja-JP"/>
              </w:rPr>
            </w:pPr>
            <w:r>
              <w:rPr>
                <w:rFonts w:ascii="Times New Roman" w:hAnsi="Times New Roman" w:eastAsia="MS PGothic" w:cs="Times New Roman"/>
                <w:b w:val="0"/>
                <w:bCs/>
                <w:sz w:val="20"/>
                <w:szCs w:val="20"/>
                <w:lang w:eastAsia="ja-JP"/>
              </w:rPr>
              <w:t>with X = 1 / 0.5 ms</w:t>
            </w:r>
          </w:p>
          <w:p>
            <w:pPr>
              <w:spacing w:before="60" w:beforeLines="0" w:after="60" w:afterLines="0" w:line="360" w:lineRule="auto"/>
              <w:jc w:val="center"/>
              <w:rPr>
                <w:rFonts w:hint="default" w:ascii="Times New Roman" w:hAnsi="Times New Roman" w:eastAsia="宋体" w:cs="Times New Roman"/>
                <w:b w:val="0"/>
                <w:bCs/>
                <w:sz w:val="20"/>
                <w:szCs w:val="20"/>
                <w:lang w:val="en-US" w:eastAsia="zh-CN"/>
              </w:rPr>
            </w:pPr>
            <w:r>
              <w:rPr>
                <w:rFonts w:ascii="Times New Roman" w:hAnsi="Times New Roman" w:eastAsia="MS PGothic" w:cs="Times New Roman"/>
                <w:bCs/>
                <w:sz w:val="20"/>
                <w:szCs w:val="20"/>
                <w:lang w:eastAsia="ja-JP"/>
              </w:rPr>
              <w:t>N</w:t>
            </w:r>
            <w:r>
              <w:rPr>
                <w:rFonts w:ascii="Times New Roman" w:hAnsi="Times New Roman" w:eastAsia="MS PGothic" w:cs="Times New Roman"/>
                <w:bCs/>
                <w:sz w:val="20"/>
                <w:szCs w:val="20"/>
                <w:vertAlign w:val="subscript"/>
                <w:lang w:eastAsia="ja-JP"/>
              </w:rPr>
              <w:t>T,1</w:t>
            </w:r>
            <w:r>
              <w:rPr>
                <w:rFonts w:ascii="Times New Roman" w:hAnsi="Times New Roman" w:eastAsia="MS PGothic" w:cs="Times New Roman"/>
                <w:bCs/>
                <w:sz w:val="20"/>
                <w:szCs w:val="20"/>
                <w:lang w:eastAsia="ja-JP"/>
              </w:rPr>
              <w:t xml:space="preserve"> + N</w:t>
            </w:r>
            <w:r>
              <w:rPr>
                <w:rFonts w:ascii="Times New Roman" w:hAnsi="Times New Roman" w:eastAsia="MS PGothic" w:cs="Times New Roman"/>
                <w:bCs/>
                <w:sz w:val="20"/>
                <w:szCs w:val="20"/>
                <w:vertAlign w:val="subscript"/>
                <w:lang w:eastAsia="ja-JP"/>
              </w:rPr>
              <w:t>T,2</w:t>
            </w:r>
            <w:r>
              <w:rPr>
                <w:rFonts w:ascii="Times New Roman" w:hAnsi="Times New Roman" w:eastAsia="MS PGothic" w:cs="Times New Roman"/>
                <w:bCs/>
                <w:sz w:val="20"/>
                <w:szCs w:val="20"/>
                <w:lang w:eastAsia="ja-JP"/>
              </w:rPr>
              <w:t xml:space="preserve"> + 0.5 + X</w:t>
            </w:r>
            <w:r>
              <w:rPr>
                <w:rFonts w:hint="eastAsia" w:ascii="Times New Roman" w:hAnsi="Times New Roman" w:cs="Times New Roman"/>
                <w:bCs/>
                <w:sz w:val="20"/>
                <w:szCs w:val="20"/>
                <w:lang w:val="en-US" w:eastAsia="zh-CN"/>
              </w:rPr>
              <w:t>=</w:t>
            </w:r>
            <w:r>
              <w:rPr>
                <w:rFonts w:hint="default" w:ascii="Times New Roman" w:hAnsi="Times New Roman" w:cs="Times New Roman"/>
                <w:bCs/>
                <w:sz w:val="20"/>
                <w:szCs w:val="20"/>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1</w:t>
            </w:r>
            <w:r>
              <w:rPr>
                <w:rFonts w:hint="default" w:ascii="Times New Roman" w:hAnsi="Times New Roman" w:cs="Times New Roman"/>
                <w:bCs/>
                <w:i/>
                <w:color w:val="000000"/>
                <w:vertAlign w:val="subscript"/>
                <w:lang w:val="en-US" w:eastAsia="zh-CN"/>
              </w:rPr>
              <w:t>+</w:t>
            </w:r>
            <w:r>
              <w:rPr>
                <w:rFonts w:ascii="Times New Roman" w:hAnsi="Times New Roman" w:eastAsia="Batang" w:cs="Times New Roman"/>
                <w:bCs/>
                <w:i/>
                <w:color w:val="000000"/>
                <w:lang w:val="en-GB"/>
              </w:rPr>
              <w:t>N</w:t>
            </w:r>
            <w:r>
              <w:rPr>
                <w:rFonts w:ascii="Times New Roman" w:hAnsi="Times New Roman" w:eastAsia="Batang" w:cs="Times New Roman"/>
                <w:bCs/>
                <w:i/>
                <w:color w:val="000000"/>
                <w:vertAlign w:val="subscript"/>
                <w:lang w:val="en-GB"/>
              </w:rPr>
              <w:t>2</w:t>
            </w:r>
            <w:r>
              <w:rPr>
                <w:rFonts w:hint="default" w:ascii="Times New Roman" w:hAnsi="Times New Roman" w:eastAsia="MS PGothic" w:cs="Times New Roman"/>
                <w:b w:val="0"/>
                <w:bCs/>
                <w:i w:val="0"/>
                <w:sz w:val="20"/>
                <w:szCs w:val="20"/>
                <w:vertAlign w:val="baseline"/>
                <w:lang w:val="en-US" w:eastAsia="ja-JP"/>
              </w:rPr>
              <w:t>+0.5ms</w:t>
            </w:r>
            <w:r>
              <w:rPr>
                <w:rFonts w:hint="default" w:ascii="Times New Roman" w:hAnsi="Times New Roman" w:cs="Times New Roman"/>
                <w:b w:val="0"/>
                <w:bCs/>
                <w:i w:val="0"/>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430" w:type="dxa"/>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default" w:ascii="Times New Roman" w:hAnsi="Times New Roman" w:cs="Times New Roman" w:eastAsiaTheme="minorEastAsia"/>
                <w:b w:val="0"/>
                <w:bCs/>
                <w:sz w:val="20"/>
                <w:szCs w:val="20"/>
                <w:vertAlign w:val="baseline"/>
                <w:lang w:val="en-US" w:eastAsia="zh-CN"/>
              </w:rPr>
              <w:t>0</w:t>
            </w:r>
          </w:p>
        </w:tc>
        <w:tc>
          <w:tcPr>
            <w:tcW w:w="2430" w:type="dxa"/>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eastAsia" w:eastAsia="Microsoft YaHei UI"/>
                <w:b w:val="0"/>
                <w:sz w:val="20"/>
                <w:szCs w:val="20"/>
                <w:lang w:val="en-US" w:eastAsia="zh-CN"/>
              </w:rPr>
              <w:t>a</w:t>
            </w:r>
            <w:r>
              <w:rPr>
                <w:rFonts w:hint="default" w:eastAsia="Microsoft YaHei UI"/>
                <w:b w:val="0"/>
                <w:sz w:val="20"/>
                <w:szCs w:val="20"/>
                <w:lang w:val="en-US" w:eastAsia="zh-CN"/>
              </w:rPr>
              <w:t>vailable</w:t>
            </w:r>
            <w:r>
              <w:rPr>
                <w:rFonts w:eastAsia="宋体"/>
                <w:sz w:val="18"/>
                <w:lang w:eastAsia="zh-CN"/>
              </w:rPr>
              <w:t xml:space="preserve"> row index: 8, 9, 10, 11, 12, 13, 15 and 16</w:t>
            </w:r>
          </w:p>
        </w:tc>
        <w:tc>
          <w:tcPr>
            <w:tcW w:w="2430" w:type="dxa"/>
            <w:vAlign w:val="top"/>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eastAsia" w:eastAsia="Microsoft YaHei UI"/>
                <w:b w:val="0"/>
                <w:sz w:val="20"/>
                <w:szCs w:val="20"/>
                <w:lang w:val="en-US" w:eastAsia="zh-CN"/>
              </w:rPr>
              <w:t>a</w:t>
            </w:r>
            <w:r>
              <w:rPr>
                <w:rFonts w:hint="default" w:eastAsia="Microsoft YaHei UI"/>
                <w:b w:val="0"/>
                <w:sz w:val="20"/>
                <w:szCs w:val="20"/>
                <w:lang w:val="en-US" w:eastAsia="zh-CN"/>
              </w:rPr>
              <w:t>vailable</w:t>
            </w:r>
            <w:r>
              <w:rPr>
                <w:rFonts w:eastAsia="宋体"/>
                <w:sz w:val="18"/>
                <w:lang w:eastAsia="zh-CN"/>
              </w:rPr>
              <w:t xml:space="preserve"> row index: 8, 9, 10, 11, 12, 13, 15 and 16</w:t>
            </w:r>
          </w:p>
        </w:tc>
        <w:tc>
          <w:tcPr>
            <w:tcW w:w="2430" w:type="dxa"/>
            <w:vAlign w:val="top"/>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eastAsia" w:eastAsia="Microsoft YaHei UI"/>
                <w:b w:val="0"/>
                <w:sz w:val="20"/>
                <w:szCs w:val="20"/>
                <w:lang w:val="en-US" w:eastAsia="zh-CN"/>
              </w:rPr>
              <w:t>a</w:t>
            </w:r>
            <w:r>
              <w:rPr>
                <w:rFonts w:hint="default" w:eastAsia="Microsoft YaHei UI"/>
                <w:b w:val="0"/>
                <w:sz w:val="20"/>
                <w:szCs w:val="20"/>
                <w:lang w:val="en-US" w:eastAsia="zh-CN"/>
              </w:rPr>
              <w:t>vailable</w:t>
            </w:r>
            <w:r>
              <w:rPr>
                <w:rFonts w:eastAsia="宋体"/>
                <w:sz w:val="18"/>
                <w:lang w:eastAsia="zh-CN"/>
              </w:rPr>
              <w:t xml:space="preserve"> row index: 11, 12, 13, 15 and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430" w:type="dxa"/>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default" w:ascii="Times New Roman" w:hAnsi="Times New Roman" w:cs="Times New Roman" w:eastAsiaTheme="minorEastAsia"/>
                <w:b w:val="0"/>
                <w:bCs/>
                <w:sz w:val="20"/>
                <w:szCs w:val="20"/>
                <w:vertAlign w:val="baseline"/>
                <w:lang w:val="en-US" w:eastAsia="zh-CN"/>
              </w:rPr>
              <w:t>1</w:t>
            </w:r>
          </w:p>
        </w:tc>
        <w:tc>
          <w:tcPr>
            <w:tcW w:w="2430" w:type="dxa"/>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eastAsia" w:eastAsia="Microsoft YaHei UI"/>
                <w:b w:val="0"/>
                <w:sz w:val="20"/>
                <w:szCs w:val="20"/>
                <w:lang w:val="en-US" w:eastAsia="zh-CN"/>
              </w:rPr>
              <w:t>a</w:t>
            </w:r>
            <w:r>
              <w:rPr>
                <w:rFonts w:hint="default" w:eastAsia="Microsoft YaHei UI"/>
                <w:b w:val="0"/>
                <w:sz w:val="20"/>
                <w:szCs w:val="20"/>
                <w:lang w:val="en-US" w:eastAsia="zh-CN"/>
              </w:rPr>
              <w:t>vailable</w:t>
            </w:r>
            <w:r>
              <w:rPr>
                <w:rFonts w:eastAsia="宋体"/>
                <w:sz w:val="18"/>
                <w:lang w:eastAsia="zh-CN"/>
              </w:rPr>
              <w:t xml:space="preserve"> row index: </w:t>
            </w:r>
            <w:r>
              <w:rPr>
                <w:rFonts w:hint="eastAsia"/>
                <w:sz w:val="18"/>
                <w:lang w:val="en-US" w:eastAsia="zh-CN"/>
              </w:rPr>
              <w:t>1~16</w:t>
            </w:r>
          </w:p>
        </w:tc>
        <w:tc>
          <w:tcPr>
            <w:tcW w:w="2430" w:type="dxa"/>
            <w:vAlign w:val="top"/>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eastAsia" w:eastAsia="Microsoft YaHei UI"/>
                <w:b w:val="0"/>
                <w:sz w:val="20"/>
                <w:szCs w:val="20"/>
                <w:lang w:val="en-US" w:eastAsia="zh-CN"/>
              </w:rPr>
              <w:t>a</w:t>
            </w:r>
            <w:r>
              <w:rPr>
                <w:rFonts w:hint="default" w:eastAsia="Microsoft YaHei UI"/>
                <w:b w:val="0"/>
                <w:sz w:val="20"/>
                <w:szCs w:val="20"/>
                <w:lang w:val="en-US" w:eastAsia="zh-CN"/>
              </w:rPr>
              <w:t>vailable</w:t>
            </w:r>
            <w:r>
              <w:rPr>
                <w:rFonts w:eastAsia="宋体"/>
                <w:sz w:val="18"/>
                <w:lang w:eastAsia="zh-CN"/>
              </w:rPr>
              <w:t xml:space="preserve"> row index: 8, 9, 10, 11, 12, 13, 15 and 16</w:t>
            </w:r>
          </w:p>
        </w:tc>
        <w:tc>
          <w:tcPr>
            <w:tcW w:w="2430" w:type="dxa"/>
            <w:vAlign w:val="top"/>
          </w:tcPr>
          <w:p>
            <w:pPr>
              <w:spacing w:before="60" w:beforeLines="0" w:after="60" w:afterLines="0" w:line="360" w:lineRule="auto"/>
              <w:jc w:val="center"/>
              <w:rPr>
                <w:rFonts w:hint="default" w:ascii="Times New Roman" w:hAnsi="Times New Roman" w:cs="Times New Roman" w:eastAsiaTheme="minorEastAsia"/>
                <w:b w:val="0"/>
                <w:bCs/>
                <w:sz w:val="20"/>
                <w:szCs w:val="20"/>
                <w:vertAlign w:val="baseline"/>
                <w:lang w:val="en-US" w:eastAsia="zh-CN"/>
              </w:rPr>
            </w:pPr>
            <w:r>
              <w:rPr>
                <w:rFonts w:hint="eastAsia" w:eastAsia="Microsoft YaHei UI"/>
                <w:b w:val="0"/>
                <w:sz w:val="20"/>
                <w:szCs w:val="20"/>
                <w:lang w:val="en-US" w:eastAsia="zh-CN"/>
              </w:rPr>
              <w:t>a</w:t>
            </w:r>
            <w:r>
              <w:rPr>
                <w:rFonts w:hint="default" w:eastAsia="Microsoft YaHei UI"/>
                <w:b w:val="0"/>
                <w:sz w:val="20"/>
                <w:szCs w:val="20"/>
                <w:lang w:val="en-US" w:eastAsia="zh-CN"/>
              </w:rPr>
              <w:t>vailable</w:t>
            </w:r>
            <w:r>
              <w:rPr>
                <w:rFonts w:eastAsia="宋体"/>
                <w:sz w:val="18"/>
                <w:lang w:eastAsia="zh-CN"/>
              </w:rPr>
              <w:t xml:space="preserve"> row index: 8, 9, 10, 11, 12, 13, 15 and 16</w:t>
            </w:r>
          </w:p>
        </w:tc>
      </w:tr>
    </w:tbl>
    <w:p>
      <w:pPr>
        <w:spacing w:before="60" w:beforeLines="0" w:after="60" w:afterLines="0" w:line="360" w:lineRule="auto"/>
        <w:jc w:val="both"/>
        <w:rPr>
          <w:rFonts w:hint="eastAsia" w:eastAsiaTheme="minorEastAsia"/>
          <w:b w:val="0"/>
          <w:sz w:val="20"/>
          <w:szCs w:val="20"/>
          <w:lang w:val="en-US" w:eastAsia="zh-CN"/>
        </w:rPr>
      </w:pPr>
      <w:r>
        <w:rPr>
          <w:rFonts w:hint="eastAsia" w:eastAsiaTheme="minorEastAsia"/>
          <w:b w:val="0"/>
          <w:sz w:val="20"/>
          <w:szCs w:val="20"/>
          <w:lang w:val="en-US" w:eastAsia="zh-CN"/>
        </w:rPr>
        <w:t>According to Table 2, compared with the original Msg 3 scheduling time, regardless of X=0.5/0.25 ms or X=1/0.5 ms, the row index in the default TDRA table cannot be completely reused by the R18 eRedcap UE. In addition, from our point of view, compared with X=0.5/0.25 ms, X=1/0.5 ms can also reserve more time for RAR PDSCH with a bandwidth greater than 5 MHz to complete channel estimation modules or other modules that need longer processing times due to the change in the number of PRBs. To sum up, X=1/0.5ms is more suitable to meet the minimum processing time requirement between RAR PDSCH and Msg3.</w:t>
      </w:r>
    </w:p>
    <w:p>
      <w:pPr>
        <w:spacing w:before="60" w:beforeLines="0" w:after="60" w:afterLines="0" w:line="360" w:lineRule="auto"/>
        <w:jc w:val="both"/>
        <w:rPr>
          <w:rFonts w:hint="default" w:eastAsiaTheme="minorEastAsia"/>
          <w:b w:val="0"/>
          <w:sz w:val="20"/>
          <w:szCs w:val="20"/>
          <w:lang w:val="en-US" w:eastAsia="zh-CN"/>
        </w:rPr>
      </w:pPr>
      <w:r>
        <w:rPr>
          <w:rFonts w:hint="eastAsia" w:eastAsiaTheme="minorEastAsia"/>
          <w:b w:val="0"/>
          <w:sz w:val="20"/>
          <w:szCs w:val="20"/>
          <w:lang w:val="en-US" w:eastAsia="zh-CN"/>
        </w:rPr>
        <w:t>Combined with the analysis of 2.1.1, Option 3 should be supported.</w:t>
      </w:r>
    </w:p>
    <w:p>
      <w:pPr>
        <w:spacing w:before="60" w:beforeLines="0" w:after="60" w:afterLines="0" w:line="360" w:lineRule="auto"/>
        <w:jc w:val="both"/>
        <w:rPr>
          <w:rFonts w:hint="eastAsia"/>
          <w:b/>
          <w:sz w:val="21"/>
          <w:szCs w:val="22"/>
          <w:lang w:val="en-US" w:eastAsia="zh-CN"/>
        </w:rPr>
      </w:pPr>
      <w:r>
        <w:rPr>
          <w:rFonts w:hint="eastAsia"/>
          <w:b/>
          <w:sz w:val="21"/>
          <w:szCs w:val="22"/>
          <w:lang w:val="en-US" w:eastAsia="zh-CN"/>
        </w:rPr>
        <w:t>Observation</w:t>
      </w:r>
      <w:r>
        <w:rPr>
          <w:rFonts w:hint="default"/>
          <w:b/>
          <w:sz w:val="21"/>
          <w:szCs w:val="22"/>
          <w:lang w:val="en-US" w:eastAsia="zh-CN"/>
        </w:rPr>
        <w:t xml:space="preserve"> </w:t>
      </w:r>
      <w:r>
        <w:rPr>
          <w:rFonts w:hint="eastAsia"/>
          <w:b/>
          <w:sz w:val="21"/>
          <w:szCs w:val="22"/>
          <w:lang w:val="en-US" w:eastAsia="zh-CN"/>
        </w:rPr>
        <w:t>1  It is observed that regardless of X=0.5/0.25 ms or X=1/0.5 ms, the row index in the default TDRA table cannot be completely reused by the R18 eRedcap UE.</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From the perspective of RAN1, Option 3 should be supported.</w:t>
      </w:r>
    </w:p>
    <w:p>
      <w:pPr>
        <w:pStyle w:val="4"/>
        <w:bidi w:val="0"/>
        <w:spacing w:before="240" w:after="180"/>
        <w:rPr>
          <w:szCs w:val="32"/>
          <w:u w:val="none"/>
          <w:lang w:val="en-US" w:eastAsia="zh-CN"/>
        </w:rPr>
      </w:pPr>
      <w:r>
        <w:rPr>
          <w:szCs w:val="32"/>
          <w:u w:val="none"/>
          <w:lang w:val="en-US" w:eastAsia="zh-CN"/>
        </w:rPr>
        <w:t>Simultaneous reception</w:t>
      </w:r>
    </w:p>
    <w:p>
      <w:pPr>
        <w:spacing w:before="60" w:beforeLines="0" w:after="60" w:afterLines="0" w:line="360" w:lineRule="auto"/>
        <w:jc w:val="both"/>
        <w:rPr>
          <w:rFonts w:hint="default" w:eastAsia="Yu Mincho"/>
          <w:b w:val="0"/>
          <w:sz w:val="20"/>
          <w:szCs w:val="21"/>
          <w:lang w:val="en-US" w:eastAsia="zh-CN"/>
        </w:rPr>
      </w:pPr>
      <w:r>
        <w:rPr>
          <w:rFonts w:hint="eastAsia" w:eastAsia="Yu Mincho"/>
          <w:b w:val="0"/>
          <w:sz w:val="20"/>
          <w:szCs w:val="21"/>
          <w:lang w:val="en-US" w:eastAsia="zh-CN"/>
        </w:rPr>
        <w:t>The s</w:t>
      </w:r>
      <w:r>
        <w:rPr>
          <w:rFonts w:hint="default" w:eastAsia="Yu Mincho"/>
          <w:b w:val="0"/>
          <w:sz w:val="20"/>
          <w:szCs w:val="21"/>
          <w:lang w:val="en-US" w:eastAsia="zh-CN"/>
        </w:rPr>
        <w:t xml:space="preserve">imultaneous reception of unicast PDSCH and SI PDSCH triggered by P-RNTI </w:t>
      </w:r>
      <w:r>
        <w:rPr>
          <w:rFonts w:hint="eastAsia" w:eastAsia="Yu Mincho"/>
          <w:b w:val="0"/>
          <w:sz w:val="20"/>
          <w:szCs w:val="21"/>
          <w:lang w:val="en-US" w:eastAsia="zh-CN"/>
        </w:rPr>
        <w:t xml:space="preserve">has been </w:t>
      </w:r>
      <w:r>
        <w:rPr>
          <w:rFonts w:hint="default" w:eastAsia="Yu Mincho"/>
          <w:sz w:val="20"/>
          <w:szCs w:val="21"/>
          <w:lang w:val="en-US" w:eastAsia="zh-CN"/>
        </w:rPr>
        <w:t>widely</w:t>
      </w:r>
      <w:r>
        <w:rPr>
          <w:rFonts w:hint="default" w:eastAsia="Yu Mincho"/>
          <w:b w:val="0"/>
          <w:sz w:val="20"/>
          <w:szCs w:val="21"/>
          <w:lang w:val="en-US" w:eastAsia="zh-CN"/>
        </w:rPr>
        <w:t xml:space="preserve"> discussed in RAN1#</w:t>
      </w:r>
      <w:r>
        <w:rPr>
          <w:rFonts w:hint="eastAsia" w:eastAsia="Yu Mincho"/>
          <w:b w:val="0"/>
          <w:sz w:val="20"/>
          <w:szCs w:val="21"/>
          <w:lang w:val="en-US" w:eastAsia="zh-CN"/>
        </w:rPr>
        <w:t>112b-e</w:t>
      </w:r>
      <w:r>
        <w:rPr>
          <w:rFonts w:hint="default" w:eastAsia="Yu Mincho"/>
          <w:b w:val="0"/>
          <w:sz w:val="20"/>
          <w:szCs w:val="21"/>
          <w:lang w:val="en-US" w:eastAsia="zh-CN"/>
        </w:rPr>
        <w:t>. According to the current protocol, it can be known that the legacy UE can simultaneously decode the unicast PDSCH</w:t>
      </w:r>
      <w:r>
        <w:rPr>
          <w:rFonts w:hint="eastAsia" w:eastAsia="Yu Mincho"/>
          <w:b w:val="0"/>
          <w:sz w:val="20"/>
          <w:szCs w:val="21"/>
          <w:lang w:val="en-US" w:eastAsia="zh-CN"/>
        </w:rPr>
        <w:t xml:space="preserve"> </w:t>
      </w:r>
      <w:r>
        <w:rPr>
          <w:rFonts w:hint="default" w:eastAsia="Yu Mincho"/>
          <w:b w:val="0"/>
          <w:sz w:val="20"/>
          <w:szCs w:val="21"/>
          <w:lang w:val="en-US" w:eastAsia="zh-CN"/>
        </w:rPr>
        <w:t xml:space="preserve">and the SI PDSCH triggered by the P-RNTI. But for Rel-18 eRedCap UE with </w:t>
      </w:r>
      <w:r>
        <w:rPr>
          <w:rFonts w:hint="eastAsia" w:eastAsia="Yu Mincho"/>
          <w:b w:val="0"/>
          <w:sz w:val="20"/>
          <w:szCs w:val="21"/>
          <w:lang w:val="en-US" w:eastAsia="zh-CN"/>
        </w:rPr>
        <w:t xml:space="preserve">BB bandwidth reduction </w:t>
      </w:r>
      <w:r>
        <w:rPr>
          <w:rFonts w:hint="default" w:eastAsia="Yu Mincho"/>
          <w:b w:val="0"/>
          <w:sz w:val="20"/>
          <w:szCs w:val="21"/>
          <w:lang w:val="en-US" w:eastAsia="zh-CN"/>
        </w:rPr>
        <w:t xml:space="preserve">, since the maximum number of unicast PRBs that UE can </w:t>
      </w:r>
      <w:r>
        <w:rPr>
          <w:rFonts w:hint="eastAsia" w:eastAsia="Yu Mincho"/>
          <w:sz w:val="20"/>
          <w:szCs w:val="21"/>
          <w:lang w:val="en-US" w:eastAsia="zh-CN"/>
        </w:rPr>
        <w:t>process</w:t>
      </w:r>
      <w:r>
        <w:rPr>
          <w:rFonts w:hint="default" w:eastAsia="Yu Mincho"/>
          <w:b w:val="0"/>
          <w:sz w:val="20"/>
          <w:szCs w:val="21"/>
          <w:lang w:val="en-US" w:eastAsia="zh-CN"/>
        </w:rPr>
        <w:t xml:space="preserve"> per slot is 5MHz, if the frequency division multiplexing bandwidth of unicast PDSCH and SI PDSCH triggered by P-RNTI exceeds 5MHz, then The UE cannot simultaneously decode the unicast PDSCH and the SI PDSCH triggered by the P-RNTI. Further, the current protocol stipulates that when unicast decoding is based on capability 2 processing time, the SI PDSCH triggered by the P-RNTI should be decoded </w:t>
      </w:r>
      <w:r>
        <w:rPr>
          <w:rFonts w:hint="default" w:eastAsia="Yu Mincho"/>
          <w:sz w:val="20"/>
          <w:szCs w:val="21"/>
          <w:lang w:val="en-US" w:eastAsia="zh-CN"/>
        </w:rPr>
        <w:t>first</w:t>
      </w:r>
      <w:r>
        <w:rPr>
          <w:rFonts w:hint="default" w:eastAsia="Yu Mincho"/>
          <w:b w:val="0"/>
          <w:sz w:val="20"/>
          <w:szCs w:val="21"/>
          <w:lang w:val="en-US" w:eastAsia="zh-CN"/>
        </w:rPr>
        <w:t>, and the unicast PDSCH can be skipped. That is to say, according to the current protocol , P-RNTI has higher priority than unicast PDSCH. To sum up, when the frequency division multiplexing bandwidth of the unicast PDSCH and SI PDSCH triggered by P-RNTI</w:t>
      </w:r>
      <w:r>
        <w:rPr>
          <w:rFonts w:hint="eastAsia" w:eastAsia="Yu Mincho"/>
          <w:b w:val="0"/>
          <w:sz w:val="20"/>
          <w:szCs w:val="21"/>
          <w:lang w:val="en-US" w:eastAsia="zh-CN"/>
        </w:rPr>
        <w:t xml:space="preserve"> </w:t>
      </w:r>
      <w:r>
        <w:rPr>
          <w:rFonts w:hint="default" w:eastAsia="Yu Mincho"/>
          <w:b w:val="0"/>
          <w:sz w:val="20"/>
          <w:szCs w:val="21"/>
          <w:lang w:val="en-US" w:eastAsia="zh-CN"/>
        </w:rPr>
        <w:t xml:space="preserve">exceeds 5 MHz, UE should prioritize decoding the </w:t>
      </w:r>
      <w:r>
        <w:rPr>
          <w:rFonts w:hint="eastAsia" w:eastAsia="Yu Mincho"/>
          <w:b w:val="0"/>
          <w:sz w:val="20"/>
          <w:szCs w:val="21"/>
          <w:lang w:val="en-US" w:eastAsia="zh-CN"/>
        </w:rPr>
        <w:t xml:space="preserve">SI </w:t>
      </w:r>
      <w:r>
        <w:rPr>
          <w:rFonts w:hint="default" w:eastAsia="Yu Mincho"/>
          <w:b w:val="0"/>
          <w:sz w:val="20"/>
          <w:szCs w:val="21"/>
          <w:lang w:val="en-US" w:eastAsia="zh-CN"/>
        </w:rPr>
        <w:t>PDSCH  triggered by P-RNTI, and UE can skip decoding unicast PDSCH. In addition, when the frequency division multiplexing bandwidth of the unicast PDSCH and the SI PDSCH triggered by the P-RNTI is less than 5MHz, the UE can simultaneously decode the unicast PDSCH and the SI PDSCH.</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3  The </w:t>
      </w:r>
      <w:r>
        <w:rPr>
          <w:rFonts w:hint="default" w:eastAsia="宋体"/>
          <w:b/>
          <w:sz w:val="21"/>
          <w:szCs w:val="22"/>
          <w:lang w:val="en-US" w:eastAsia="zh-CN"/>
        </w:rPr>
        <w:t>SI PDSCH triggered by P-RNTI should be</w:t>
      </w:r>
      <w:r>
        <w:rPr>
          <w:rFonts w:hint="eastAsia"/>
          <w:b/>
          <w:sz w:val="21"/>
          <w:szCs w:val="22"/>
          <w:lang w:val="en-US" w:eastAsia="zh-CN"/>
        </w:rPr>
        <w:t xml:space="preserve"> </w:t>
      </w:r>
      <w:r>
        <w:rPr>
          <w:rFonts w:hint="default" w:eastAsia="宋体"/>
          <w:b/>
          <w:sz w:val="21"/>
          <w:szCs w:val="22"/>
          <w:lang w:val="en-US" w:eastAsia="zh-CN"/>
        </w:rPr>
        <w:t xml:space="preserve">decoded </w:t>
      </w:r>
      <w:r>
        <w:rPr>
          <w:rFonts w:hint="eastAsia"/>
          <w:b/>
          <w:sz w:val="21"/>
          <w:szCs w:val="22"/>
          <w:lang w:val="en-US" w:eastAsia="zh-CN"/>
        </w:rPr>
        <w:t>prior</w:t>
      </w:r>
      <w:r>
        <w:rPr>
          <w:rFonts w:hint="default" w:eastAsia="宋体"/>
          <w:b/>
          <w:sz w:val="21"/>
          <w:szCs w:val="22"/>
          <w:lang w:val="en-US" w:eastAsia="zh-CN"/>
        </w:rPr>
        <w:t xml:space="preserve"> </w:t>
      </w:r>
      <w:r>
        <w:rPr>
          <w:rFonts w:hint="eastAsia"/>
          <w:b/>
          <w:sz w:val="21"/>
          <w:szCs w:val="22"/>
          <w:lang w:val="en-US" w:eastAsia="zh-CN"/>
        </w:rPr>
        <w:t xml:space="preserve">to the </w:t>
      </w:r>
      <w:r>
        <w:rPr>
          <w:rFonts w:hint="default" w:eastAsia="宋体"/>
          <w:b/>
          <w:sz w:val="21"/>
          <w:szCs w:val="22"/>
          <w:lang w:val="en-US" w:eastAsia="zh-CN"/>
        </w:rPr>
        <w:t>unicast PDSCH</w:t>
      </w:r>
      <w:r>
        <w:rPr>
          <w:rFonts w:hint="eastAsia"/>
          <w:b/>
          <w:sz w:val="21"/>
          <w:szCs w:val="22"/>
          <w:lang w:val="en-US" w:eastAsia="zh-CN"/>
        </w:rPr>
        <w:t>.</w:t>
      </w:r>
    </w:p>
    <w:p>
      <w:pPr>
        <w:pStyle w:val="4"/>
        <w:bidi w:val="0"/>
        <w:spacing w:before="240" w:after="180"/>
        <w:rPr>
          <w:szCs w:val="32"/>
          <w:u w:val="none"/>
          <w:lang w:val="en-US" w:eastAsia="zh-CN"/>
        </w:rPr>
      </w:pPr>
      <w:r>
        <w:rPr>
          <w:szCs w:val="32"/>
          <w:u w:val="none"/>
          <w:lang w:val="en-US" w:eastAsia="zh-CN"/>
        </w:rPr>
        <w:t>Msg</w:t>
      </w:r>
      <w:r>
        <w:rPr>
          <w:rFonts w:hint="eastAsia"/>
          <w:szCs w:val="32"/>
          <w:u w:val="none"/>
          <w:lang w:val="en-US" w:eastAsia="zh-CN"/>
        </w:rPr>
        <w:t>B</w:t>
      </w:r>
      <w:r>
        <w:rPr>
          <w:szCs w:val="32"/>
          <w:u w:val="none"/>
          <w:lang w:val="en-US" w:eastAsia="zh-CN"/>
        </w:rPr>
        <w:t xml:space="preserve"> PDSCH bandwidth</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eastAsia="等线" w:cs="Times New Roman"/>
                <w:bCs/>
                <w:highlight w:val="green"/>
                <w:lang w:val="en-US" w:eastAsia="zh-CN"/>
              </w:rPr>
            </w:pPr>
            <w:r>
              <w:rPr>
                <w:rFonts w:hint="default" w:ascii="Times New Roman" w:hAnsi="Times New Roman" w:eastAsia="等线" w:cs="Times New Roman"/>
                <w:bCs/>
                <w:highlight w:val="green"/>
                <w:lang w:val="en-US" w:eastAsia="zh-CN"/>
              </w:rPr>
              <w:t>A</w:t>
            </w:r>
            <w:r>
              <w:rPr>
                <w:rFonts w:ascii="Times New Roman" w:hAnsi="Times New Roman" w:eastAsia="等线" w:cs="Times New Roman"/>
                <w:bCs/>
                <w:highlight w:val="green"/>
                <w:lang w:val="en-US" w:eastAsia="zh-CN"/>
              </w:rPr>
              <w:t>greement</w:t>
            </w:r>
          </w:p>
          <w:p>
            <w:pPr>
              <w:overflowPunct w:val="0"/>
              <w:autoSpaceDE w:val="0"/>
              <w:autoSpaceDN w:val="0"/>
              <w:adjustRightInd w:val="0"/>
              <w:textAlignment w:val="baseline"/>
              <w:rPr>
                <w:rFonts w:ascii="Times New Roman" w:hAnsi="Times New Roman" w:cs="Times New Roman"/>
                <w:bCs/>
                <w:lang w:val="en-US"/>
              </w:rPr>
            </w:pPr>
            <w:r>
              <w:rPr>
                <w:rFonts w:ascii="Times New Roman" w:hAnsi="Times New Roman" w:cs="Times New Roman"/>
                <w:bCs/>
                <w:lang w:val="en-US"/>
              </w:rPr>
              <w:t>Confirm the following working assumption by assuming that Msg3 indication is available</w:t>
            </w:r>
          </w:p>
          <w:p>
            <w:pPr>
              <w:overflowPunct w:val="0"/>
              <w:autoSpaceDE w:val="0"/>
              <w:autoSpaceDN w:val="0"/>
              <w:adjustRightInd w:val="0"/>
              <w:ind w:left="0"/>
              <w:textAlignment w:val="baseline"/>
              <w:rPr>
                <w:rFonts w:ascii="Times New Roman" w:hAnsi="Times New Roman" w:eastAsia="等线" w:cs="Times New Roman"/>
                <w:bCs/>
                <w:sz w:val="20"/>
                <w:szCs w:val="20"/>
                <w:highlight w:val="none"/>
                <w:lang w:val="en-US" w:eastAsia="zh-CN"/>
              </w:rPr>
            </w:pPr>
            <w:r>
              <w:rPr>
                <w:rFonts w:ascii="Times New Roman" w:hAnsi="Times New Roman" w:eastAsia="等线" w:cs="Times New Roman"/>
                <w:bCs/>
                <w:sz w:val="20"/>
                <w:szCs w:val="20"/>
                <w:highlight w:val="none"/>
                <w:lang w:val="en-US" w:eastAsia="zh-CN"/>
              </w:rPr>
              <w:t>Working Assumption</w:t>
            </w:r>
          </w:p>
          <w:p>
            <w:pPr>
              <w:numPr>
                <w:ilvl w:val="0"/>
                <w:numId w:val="2"/>
              </w:numPr>
              <w:overflowPunct w:val="0"/>
              <w:autoSpaceDE w:val="0"/>
              <w:autoSpaceDN w:val="0"/>
              <w:adjustRightInd w:val="0"/>
              <w:spacing w:after="180" w:line="252" w:lineRule="auto"/>
              <w:ind w:left="660"/>
              <w:contextualSpacing/>
              <w:textAlignment w:val="baseline"/>
              <w:rPr>
                <w:rFonts w:ascii="Times New Roman" w:hAnsi="Times New Roman" w:cs="Times New Roman"/>
                <w:bCs/>
                <w:sz w:val="20"/>
                <w:szCs w:val="20"/>
                <w:lang w:val="en-US" w:eastAsia="zh-CN"/>
              </w:rPr>
            </w:pPr>
            <w:r>
              <w:rPr>
                <w:rFonts w:ascii="Times New Roman" w:hAnsi="Times New Roman" w:cs="Times New Roman"/>
                <w:bCs/>
                <w:sz w:val="20"/>
                <w:szCs w:val="20"/>
                <w:lang w:val="en-US" w:eastAsia="zh-CN"/>
              </w:rPr>
              <w:t>For UE BB complexity reduction, a UE is able to receive a Msg4 PDSCH resource allocation spanning a bandwidth of more than ~5 MHz per slot.</w:t>
            </w:r>
          </w:p>
          <w:p>
            <w:pPr>
              <w:numPr>
                <w:ilvl w:val="1"/>
                <w:numId w:val="2"/>
              </w:numPr>
              <w:overflowPunct w:val="0"/>
              <w:autoSpaceDE w:val="0"/>
              <w:autoSpaceDN w:val="0"/>
              <w:adjustRightInd w:val="0"/>
              <w:spacing w:after="180" w:line="252" w:lineRule="auto"/>
              <w:ind w:left="1380"/>
              <w:contextualSpacing/>
              <w:textAlignment w:val="baseline"/>
              <w:rPr>
                <w:rFonts w:ascii="Times New Roman" w:hAnsi="Times New Roman" w:cs="Times New Roman"/>
                <w:bCs/>
                <w:sz w:val="20"/>
                <w:szCs w:val="20"/>
                <w:lang w:val="en-US" w:eastAsia="zh-CN"/>
              </w:rPr>
            </w:pPr>
            <w:r>
              <w:rPr>
                <w:rFonts w:ascii="Times New Roman" w:hAnsi="Times New Roman" w:cs="Times New Roman"/>
                <w:bCs/>
                <w:sz w:val="20"/>
                <w:szCs w:val="20"/>
                <w:lang w:val="en-US" w:eastAsia="zh-CN"/>
              </w:rPr>
              <w:t>The UE is not required to process a Msg4 PDSCH with a larger number of PRBs than 25 PRBs for 15 kHz SCS and 12 PRBs for 30 kHz SCS.</w:t>
            </w:r>
          </w:p>
          <w:p>
            <w:pPr>
              <w:overflowPunct w:val="0"/>
              <w:autoSpaceDE w:val="0"/>
              <w:autoSpaceDN w:val="0"/>
              <w:adjustRightInd w:val="0"/>
              <w:textAlignment w:val="baseline"/>
              <w:rPr>
                <w:vertAlign w:val="baseline"/>
                <w:lang w:val="en-US" w:eastAsia="zh-CN"/>
              </w:rPr>
            </w:pPr>
          </w:p>
        </w:tc>
      </w:tr>
    </w:tbl>
    <w:p>
      <w:pPr>
        <w:spacing w:before="60" w:beforeLines="0" w:after="60" w:afterLines="0" w:line="360" w:lineRule="auto"/>
        <w:jc w:val="both"/>
        <w:rPr>
          <w:rFonts w:hint="eastAsia" w:eastAsia="宋体"/>
          <w:b w:val="0"/>
          <w:lang w:val="en-US" w:eastAsia="zh-CN"/>
        </w:rPr>
      </w:pPr>
      <w:r>
        <w:rPr>
          <w:rFonts w:hint="eastAsia" w:eastAsia="宋体"/>
          <w:b w:val="0"/>
          <w:lang w:val="en-US" w:eastAsia="zh-CN"/>
        </w:rPr>
        <w:t>According to our understanding, both MsgB and Msg4 are unicast PDSCH, and the UE type has been known from MsgA before processing Msg B. Therefore, the bandwidth of MsgB PDSCH should be limited like Msg4 PDSCH.</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MsgB PDSCH can be limited like Msg4 PDSCH.</w:t>
      </w:r>
    </w:p>
    <w:p>
      <w:pPr>
        <w:pStyle w:val="3"/>
        <w:spacing w:before="240" w:after="180" w:line="240" w:lineRule="auto"/>
        <w:rPr>
          <w:rFonts w:hint="eastAsia"/>
          <w:b w:val="0"/>
          <w:bCs w:val="0"/>
          <w:lang w:val="en-US" w:eastAsia="zh-CN"/>
        </w:rPr>
      </w:pPr>
      <w:r>
        <w:rPr>
          <w:rFonts w:hint="eastAsia"/>
          <w:b w:val="0"/>
          <w:bCs w:val="0"/>
          <w:lang w:val="en-US" w:eastAsia="zh-CN"/>
        </w:rPr>
        <w:t>UE peak data rate reduction</w:t>
      </w:r>
    </w:p>
    <w:p>
      <w:pPr>
        <w:spacing w:before="60" w:beforeLines="0" w:after="60" w:afterLines="0" w:line="360" w:lineRule="auto"/>
        <w:jc w:val="both"/>
        <w:rPr>
          <w:rFonts w:hint="default"/>
          <w:b w:val="0"/>
          <w:bCs w:val="0"/>
          <w:lang w:val="en-US" w:eastAsia="zh-CN"/>
        </w:rPr>
      </w:pPr>
      <w:r>
        <w:rPr>
          <w:rFonts w:hint="eastAsia"/>
          <w:b w:val="0"/>
          <w:bCs w:val="0"/>
          <w:lang w:val="en-US" w:eastAsia="zh-CN"/>
        </w:rPr>
        <w:t>The following agreements were reached RAN1#112 meeting[2].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autoSpaceDE/>
              <w:autoSpaceDN/>
              <w:adjustRightInd/>
              <w:spacing w:after="0"/>
              <w:textAlignment w:val="auto"/>
              <w:rPr>
                <w:rFonts w:ascii="Times" w:hAnsi="Times" w:eastAsia="Batang"/>
                <w:szCs w:val="24"/>
                <w:highlight w:val="green"/>
                <w:lang w:val="en-US" w:eastAsia="en-US"/>
              </w:rPr>
            </w:pPr>
            <w:r>
              <w:rPr>
                <w:rFonts w:ascii="Times" w:hAnsi="Times" w:eastAsia="Batang"/>
                <w:szCs w:val="24"/>
                <w:highlight w:val="green"/>
                <w:lang w:val="en-US" w:eastAsia="en-US"/>
              </w:rPr>
              <w:t>Agreement:</w:t>
            </w:r>
          </w:p>
          <w:p>
            <w:p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Revise the earlier agreement by removing the square brackets like this:</w:t>
            </w:r>
          </w:p>
          <w:p>
            <w:pPr>
              <w:numPr>
                <w:ilvl w:val="0"/>
                <w:numId w:val="7"/>
              </w:numPr>
              <w:overflowPunct/>
              <w:autoSpaceDE/>
              <w:autoSpaceDN/>
              <w:adjustRightInd/>
              <w:spacing w:after="0"/>
              <w:textAlignment w:val="auto"/>
              <w:rPr>
                <w:rFonts w:ascii="Times" w:hAnsi="Times" w:eastAsia="Batang"/>
                <w:szCs w:val="22"/>
                <w:lang w:val="en-US" w:eastAsia="zh-CN"/>
              </w:rPr>
            </w:pPr>
            <w:r>
              <w:rPr>
                <w:rFonts w:ascii="Times" w:hAnsi="Times" w:eastAsia="Batang"/>
                <w:szCs w:val="22"/>
                <w:lang w:val="en-US" w:eastAsia="zh-CN"/>
              </w:rPr>
              <w:t>The minimum DL peak rate target (for FD-FDD) is</w:t>
            </w:r>
            <w:r>
              <w:rPr>
                <w:rFonts w:ascii="Times" w:hAnsi="Times" w:eastAsia="Batang"/>
                <w:color w:val="000000"/>
                <w:szCs w:val="22"/>
                <w:lang w:val="en-US" w:eastAsia="zh-CN"/>
              </w:rPr>
              <w:t xml:space="preserve"> </w:t>
            </w:r>
            <w:r>
              <w:rPr>
                <w:rFonts w:ascii="Times" w:hAnsi="Times" w:eastAsia="Batang"/>
                <w:strike/>
                <w:color w:val="000000"/>
                <w:szCs w:val="22"/>
                <w:lang w:val="en-US" w:eastAsia="zh-CN"/>
              </w:rPr>
              <w:t>[</w:t>
            </w:r>
            <w:r>
              <w:rPr>
                <w:rFonts w:ascii="Times" w:hAnsi="Times" w:eastAsia="Batang"/>
                <w:color w:val="000000"/>
                <w:szCs w:val="22"/>
                <w:lang w:val="en-US" w:eastAsia="zh-CN"/>
              </w:rPr>
              <w:t>10</w:t>
            </w:r>
            <w:r>
              <w:rPr>
                <w:rFonts w:ascii="Times" w:hAnsi="Times" w:eastAsia="Batang"/>
                <w:strike/>
                <w:color w:val="000000"/>
                <w:szCs w:val="22"/>
                <w:lang w:val="en-US" w:eastAsia="zh-CN"/>
              </w:rPr>
              <w:t>]</w:t>
            </w:r>
            <w:r>
              <w:rPr>
                <w:rFonts w:ascii="Times" w:hAnsi="Times" w:eastAsia="Batang"/>
                <w:szCs w:val="22"/>
                <w:lang w:val="en-US" w:eastAsia="zh-CN"/>
              </w:rPr>
              <w:t xml:space="preserve"> Mbps based on peak data rate calculation according to 38.306.</w:t>
            </w:r>
          </w:p>
          <w:p>
            <w:pPr>
              <w:numPr>
                <w:ilvl w:val="0"/>
                <w:numId w:val="7"/>
              </w:numPr>
              <w:overflowPunct/>
              <w:autoSpaceDE/>
              <w:autoSpaceDN/>
              <w:adjustRightInd/>
              <w:spacing w:after="0"/>
              <w:textAlignment w:val="auto"/>
              <w:rPr>
                <w:rFonts w:ascii="Times" w:hAnsi="Times" w:eastAsia="Batang"/>
                <w:szCs w:val="22"/>
                <w:lang w:val="en-US" w:eastAsia="zh-CN"/>
              </w:rPr>
            </w:pPr>
            <w:r>
              <w:rPr>
                <w:rFonts w:ascii="Times" w:hAnsi="Times" w:eastAsia="Batang"/>
                <w:szCs w:val="22"/>
                <w:lang w:val="en-US" w:eastAsia="zh-CN"/>
              </w:rPr>
              <w:t>The same value for X is used for DL and UL</w:t>
            </w:r>
          </w:p>
          <w:p>
            <w:pPr>
              <w:overflowPunct/>
              <w:autoSpaceDE/>
              <w:autoSpaceDN/>
              <w:adjustRightInd/>
              <w:spacing w:after="0"/>
              <w:textAlignment w:val="auto"/>
              <w:rPr>
                <w:rFonts w:ascii="Times" w:hAnsi="Times" w:eastAsia="Batang"/>
                <w:szCs w:val="24"/>
                <w:highlight w:val="green"/>
                <w:lang w:val="en-US" w:eastAsia="en-US"/>
              </w:rPr>
            </w:pPr>
          </w:p>
          <w:p>
            <w:pPr>
              <w:overflowPunct/>
              <w:autoSpaceDE/>
              <w:autoSpaceDN/>
              <w:adjustRightInd/>
              <w:spacing w:after="0"/>
              <w:textAlignment w:val="auto"/>
              <w:rPr>
                <w:rFonts w:ascii="Times" w:hAnsi="Times" w:eastAsia="Batang"/>
                <w:szCs w:val="24"/>
                <w:highlight w:val="green"/>
                <w:lang w:val="en-US" w:eastAsia="en-US"/>
              </w:rPr>
            </w:pPr>
            <w:r>
              <w:rPr>
                <w:rFonts w:ascii="Times" w:hAnsi="Times" w:eastAsia="Batang"/>
                <w:szCs w:val="24"/>
                <w:highlight w:val="green"/>
                <w:lang w:val="en-US" w:eastAsia="en-US"/>
              </w:rPr>
              <w:t>Agreement:</w:t>
            </w:r>
          </w:p>
          <w:p>
            <w:p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For the relaxed constraint X in the following earlier RAN1 agreement, down-select between X = 3 and X = 3.2.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4" w:type="dxa"/>
                  <w:shd w:val="clear" w:color="auto" w:fill="auto"/>
                </w:tcPr>
                <w:p>
                  <w:pPr>
                    <w:numPr>
                      <w:ilvl w:val="0"/>
                      <w:numId w:val="8"/>
                    </w:num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UE peak data rate reduction is supported at least as an add-on to UE BB bandwidth reduction,</w:t>
                  </w:r>
                </w:p>
                <w:p>
                  <w:pPr>
                    <w:numPr>
                      <w:ilvl w:val="1"/>
                      <w:numId w:val="8"/>
                    </w:num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The constraint </w:t>
                  </w:r>
                  <w:r>
                    <w:rPr>
                      <w:rFonts w:ascii="Times" w:hAnsi="Times" w:eastAsia="Batang"/>
                      <w:i/>
                      <w:iCs/>
                      <w:szCs w:val="24"/>
                      <w:lang w:val="en-US" w:eastAsia="en-US"/>
                    </w:rPr>
                    <w:t>v</w:t>
                  </w:r>
                  <w:r>
                    <w:rPr>
                      <w:rFonts w:ascii="Times" w:hAnsi="Times" w:eastAsia="Batang"/>
                      <w:i/>
                      <w:iCs/>
                      <w:szCs w:val="24"/>
                      <w:vertAlign w:val="subscript"/>
                      <w:lang w:val="en-US" w:eastAsia="en-US"/>
                    </w:rPr>
                    <w:t>Layers</w:t>
                  </w:r>
                  <w:r>
                    <w:rPr>
                      <w:rFonts w:ascii="Times" w:hAnsi="Times" w:eastAsia="Batang"/>
                      <w:szCs w:val="24"/>
                      <w:lang w:val="en-US" w:eastAsia="en-US"/>
                    </w:rPr>
                    <w:t>·</w:t>
                  </w:r>
                  <w:r>
                    <w:rPr>
                      <w:rFonts w:ascii="Times" w:hAnsi="Times" w:eastAsia="Batang"/>
                      <w:i/>
                      <w:iCs/>
                      <w:szCs w:val="24"/>
                      <w:lang w:val="en-US" w:eastAsia="en-US"/>
                    </w:rPr>
                    <w:t>Q</w:t>
                  </w:r>
                  <w:r>
                    <w:rPr>
                      <w:rFonts w:ascii="Times" w:hAnsi="Times" w:eastAsia="Batang"/>
                      <w:i/>
                      <w:iCs/>
                      <w:szCs w:val="24"/>
                      <w:vertAlign w:val="subscript"/>
                      <w:lang w:val="en-US" w:eastAsia="en-US"/>
                    </w:rPr>
                    <w:t>m</w:t>
                  </w:r>
                  <w:r>
                    <w:rPr>
                      <w:rFonts w:ascii="Times" w:hAnsi="Times" w:eastAsia="Batang"/>
                      <w:szCs w:val="24"/>
                      <w:lang w:val="en-US" w:eastAsia="en-US"/>
                    </w:rPr>
                    <w:t>·</w:t>
                  </w:r>
                  <w:r>
                    <w:rPr>
                      <w:rFonts w:ascii="Times" w:hAnsi="Times" w:eastAsia="Batang"/>
                      <w:i/>
                      <w:iCs/>
                      <w:szCs w:val="24"/>
                      <w:lang w:val="en-US" w:eastAsia="en-US"/>
                    </w:rPr>
                    <w:t>f</w:t>
                  </w:r>
                  <w:r>
                    <w:rPr>
                      <w:rFonts w:ascii="Times" w:hAnsi="Times" w:eastAsia="Batang"/>
                      <w:szCs w:val="24"/>
                      <w:lang w:val="en-US" w:eastAsia="en-US"/>
                    </w:rPr>
                    <w:t> ≥ 4 is relaxed to </w:t>
                  </w:r>
                  <w:r>
                    <w:rPr>
                      <w:rFonts w:ascii="Times" w:hAnsi="Times" w:eastAsia="Batang"/>
                      <w:i/>
                      <w:iCs/>
                      <w:szCs w:val="24"/>
                      <w:lang w:val="en-US" w:eastAsia="en-US"/>
                    </w:rPr>
                    <w:t>v</w:t>
                  </w:r>
                  <w:r>
                    <w:rPr>
                      <w:rFonts w:ascii="Times" w:hAnsi="Times" w:eastAsia="Batang"/>
                      <w:i/>
                      <w:iCs/>
                      <w:szCs w:val="24"/>
                      <w:vertAlign w:val="subscript"/>
                      <w:lang w:val="en-US" w:eastAsia="en-US"/>
                    </w:rPr>
                    <w:t>Layers</w:t>
                  </w:r>
                  <w:r>
                    <w:rPr>
                      <w:rFonts w:ascii="Times" w:hAnsi="Times" w:eastAsia="Batang"/>
                      <w:szCs w:val="24"/>
                      <w:lang w:val="en-US" w:eastAsia="en-US"/>
                    </w:rPr>
                    <w:t>·</w:t>
                  </w:r>
                  <w:r>
                    <w:rPr>
                      <w:rFonts w:ascii="Times" w:hAnsi="Times" w:eastAsia="Batang"/>
                      <w:i/>
                      <w:iCs/>
                      <w:szCs w:val="24"/>
                      <w:lang w:val="en-US" w:eastAsia="en-US"/>
                    </w:rPr>
                    <w:t>Q</w:t>
                  </w:r>
                  <w:r>
                    <w:rPr>
                      <w:rFonts w:ascii="Times" w:hAnsi="Times" w:eastAsia="Batang"/>
                      <w:i/>
                      <w:iCs/>
                      <w:szCs w:val="24"/>
                      <w:vertAlign w:val="subscript"/>
                      <w:lang w:val="en-US" w:eastAsia="en-US"/>
                    </w:rPr>
                    <w:t>m</w:t>
                  </w:r>
                  <w:r>
                    <w:rPr>
                      <w:rFonts w:ascii="Times" w:hAnsi="Times" w:eastAsia="Batang"/>
                      <w:szCs w:val="24"/>
                      <w:lang w:val="en-US" w:eastAsia="en-US"/>
                    </w:rPr>
                    <w:t>·</w:t>
                  </w:r>
                  <w:r>
                    <w:rPr>
                      <w:rFonts w:ascii="Times" w:hAnsi="Times" w:eastAsia="Batang"/>
                      <w:i/>
                      <w:iCs/>
                      <w:szCs w:val="24"/>
                      <w:lang w:val="en-US" w:eastAsia="en-US"/>
                    </w:rPr>
                    <w:t>f</w:t>
                  </w:r>
                  <w:r>
                    <w:rPr>
                      <w:rFonts w:ascii="Times" w:hAnsi="Times" w:eastAsia="Batang"/>
                      <w:szCs w:val="24"/>
                      <w:lang w:val="en-US" w:eastAsia="en-US"/>
                    </w:rPr>
                    <w:t> ≥ X.</w:t>
                  </w:r>
                </w:p>
                <w:p>
                  <w:pPr>
                    <w:numPr>
                      <w:ilvl w:val="1"/>
                      <w:numId w:val="8"/>
                    </w:numPr>
                    <w:overflowPunct/>
                    <w:autoSpaceDE/>
                    <w:autoSpaceDN/>
                    <w:adjustRightInd/>
                    <w:spacing w:after="0"/>
                    <w:textAlignment w:val="auto"/>
                    <w:rPr>
                      <w:rFonts w:ascii="Times" w:hAnsi="Times" w:eastAsia="Batang"/>
                      <w:szCs w:val="24"/>
                      <w:lang w:val="en-US" w:eastAsia="en-US"/>
                    </w:rPr>
                  </w:pPr>
                  <w:r>
                    <w:rPr>
                      <w:rFonts w:ascii="Times" w:hAnsi="Times" w:eastAsia="Batang"/>
                      <w:szCs w:val="24"/>
                      <w:lang w:val="en-US" w:eastAsia="en-US"/>
                    </w:rPr>
                    <w:t>FFS: the value of X</w:t>
                  </w:r>
                </w:p>
                <w:p>
                  <w:pPr>
                    <w:overflowPunct/>
                    <w:autoSpaceDE/>
                    <w:autoSpaceDN/>
                    <w:adjustRightInd/>
                    <w:spacing w:after="0"/>
                    <w:textAlignment w:val="auto"/>
                    <w:rPr>
                      <w:rFonts w:ascii="Times" w:hAnsi="Times" w:eastAsia="Batang"/>
                      <w:szCs w:val="24"/>
                      <w:lang w:val="en-US" w:eastAsia="en-US"/>
                    </w:rPr>
                  </w:pPr>
                </w:p>
              </w:tc>
            </w:tr>
          </w:tbl>
          <w:p>
            <w:pPr>
              <w:overflowPunct w:val="0"/>
              <w:autoSpaceDE w:val="0"/>
              <w:autoSpaceDN w:val="0"/>
              <w:adjustRightInd w:val="0"/>
              <w:textAlignment w:val="baseline"/>
              <w:rPr>
                <w:rFonts w:hint="default"/>
                <w:b w:val="0"/>
                <w:bCs w:val="0"/>
                <w:vertAlign w:val="baseline"/>
                <w:lang w:val="en-US" w:eastAsia="zh-CN"/>
              </w:rPr>
            </w:pPr>
          </w:p>
        </w:tc>
      </w:tr>
    </w:tbl>
    <w:p>
      <w:pPr>
        <w:spacing w:before="60" w:beforeLines="0" w:after="60" w:afterLines="0" w:line="360" w:lineRule="auto"/>
        <w:jc w:val="both"/>
        <w:rPr>
          <w:rFonts w:hint="eastAsia"/>
          <w:b w:val="0"/>
          <w:sz w:val="20"/>
          <w:szCs w:val="20"/>
          <w:lang w:val="en-US" w:eastAsia="zh-CN"/>
        </w:rPr>
      </w:pPr>
      <w:r>
        <w:rPr>
          <w:rFonts w:hint="eastAsia"/>
          <w:b w:val="0"/>
          <w:sz w:val="20"/>
          <w:szCs w:val="20"/>
          <w:lang w:val="en-US" w:eastAsia="zh-CN"/>
        </w:rPr>
        <w:t>In fact, according to 38.306, the data rate is calculated as follows:</w:t>
      </w:r>
    </w:p>
    <w:p>
      <w:pPr>
        <w:spacing w:before="0" w:beforeLines="0" w:after="0" w:afterLines="0" w:line="360" w:lineRule="auto"/>
        <w:jc w:val="center"/>
      </w:pPr>
      <w:r>
        <w:object>
          <v:shape id="_x0000_i1025" o:spt="75" type="#_x0000_t75" style="height:34.5pt;width:33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spacing w:before="0" w:beforeLines="0" w:after="0" w:afterLines="0" w:line="360" w:lineRule="auto"/>
        <w:jc w:val="both"/>
        <w:rPr>
          <w:rFonts w:hint="eastAsia"/>
          <w:lang w:val="en-US" w:eastAsia="zh-CN"/>
        </w:rPr>
      </w:pPr>
      <w:r>
        <w:rPr>
          <w:lang w:eastAsia="zh-CN"/>
        </w:rPr>
        <w:t xml:space="preserve">where Rmax = 948/1024,  </w:t>
      </w:r>
      <w:r>
        <w:rPr>
          <w:position w:val="-24"/>
          <w:lang w:eastAsia="zh-CN"/>
        </w:rPr>
        <w:object>
          <v:shape id="_x0000_i1026" o:spt="75" type="#_x0000_t75" style="height:31.9pt;width:63.2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lang w:eastAsia="zh-CN"/>
        </w:rPr>
        <w:t xml:space="preserve"> </w:t>
      </w:r>
      <w:r>
        <w:rPr>
          <w:rFonts w:hint="eastAsia"/>
          <w:lang w:val="en-US" w:eastAsia="zh-CN"/>
        </w:rPr>
        <w:t>.</w:t>
      </w:r>
    </w:p>
    <w:p>
      <w:pPr>
        <w:spacing w:before="60" w:beforeLines="0" w:after="60" w:afterLines="0" w:line="360" w:lineRule="auto"/>
        <w:jc w:val="both"/>
        <w:rPr>
          <w:rFonts w:hint="eastAsia"/>
          <w:lang w:val="en-US" w:eastAsia="zh-CN"/>
        </w:rPr>
      </w:pPr>
      <w:r>
        <w:rPr>
          <w:rFonts w:hint="eastAsia"/>
          <w:lang w:val="en-US" w:eastAsia="zh-CN"/>
        </w:rPr>
        <w:t xml:space="preserve">If UE peak data rate reduction is an add-on technique to UE BB bandwidth reduction, the relationship between DL data rate and </w:t>
      </w:r>
      <w:r>
        <w:rPr>
          <w:rFonts w:ascii="Times" w:hAnsi="Times" w:eastAsia="Batang"/>
          <w:i/>
          <w:iCs/>
          <w:szCs w:val="24"/>
          <w:lang w:val="en-US" w:eastAsia="en-US"/>
        </w:rPr>
        <w:t>v</w:t>
      </w:r>
      <w:r>
        <w:rPr>
          <w:rFonts w:ascii="Times" w:hAnsi="Times" w:eastAsia="Batang"/>
          <w:i/>
          <w:iCs/>
          <w:szCs w:val="24"/>
          <w:vertAlign w:val="subscript"/>
          <w:lang w:val="en-US" w:eastAsia="en-US"/>
        </w:rPr>
        <w:t>Layers</w:t>
      </w:r>
      <w:r>
        <w:rPr>
          <w:rFonts w:ascii="Times" w:hAnsi="Times" w:eastAsia="Batang"/>
          <w:szCs w:val="24"/>
          <w:lang w:val="en-US" w:eastAsia="en-US"/>
        </w:rPr>
        <w:t>·</w:t>
      </w:r>
      <w:r>
        <w:rPr>
          <w:rFonts w:ascii="Times" w:hAnsi="Times" w:eastAsia="Batang"/>
          <w:i/>
          <w:iCs/>
          <w:szCs w:val="24"/>
          <w:lang w:val="en-US" w:eastAsia="en-US"/>
        </w:rPr>
        <w:t>Q</w:t>
      </w:r>
      <w:r>
        <w:rPr>
          <w:rFonts w:ascii="Times" w:hAnsi="Times" w:eastAsia="Batang"/>
          <w:i/>
          <w:iCs/>
          <w:szCs w:val="24"/>
          <w:vertAlign w:val="subscript"/>
          <w:lang w:val="en-US" w:eastAsia="en-US"/>
        </w:rPr>
        <w:t>m</w:t>
      </w:r>
      <w:r>
        <w:rPr>
          <w:rFonts w:ascii="Times" w:hAnsi="Times" w:eastAsia="Batang"/>
          <w:szCs w:val="24"/>
          <w:lang w:val="en-US" w:eastAsia="en-US"/>
        </w:rPr>
        <w:t>·</w:t>
      </w:r>
      <w:r>
        <w:rPr>
          <w:rFonts w:ascii="Times" w:hAnsi="Times" w:eastAsia="Batang"/>
          <w:i/>
          <w:iCs/>
          <w:szCs w:val="24"/>
          <w:lang w:val="en-US" w:eastAsia="en-US"/>
        </w:rPr>
        <w:t>f</w:t>
      </w:r>
      <w:r>
        <w:rPr>
          <w:rFonts w:hint="eastAsia"/>
          <w:i w:val="0"/>
          <w:iCs w:val="0"/>
          <w:lang w:val="en-US" w:eastAsia="zh-CN"/>
        </w:rPr>
        <w:t xml:space="preserve"> </w:t>
      </w:r>
      <w:r>
        <w:rPr>
          <w:rFonts w:hint="eastAsia"/>
          <w:lang w:val="en-US" w:eastAsia="zh-CN"/>
        </w:rPr>
        <w:t xml:space="preserve">is in the Table 1 </w:t>
      </w:r>
    </w:p>
    <w:p>
      <w:pPr>
        <w:spacing w:before="0" w:beforeLines="0" w:after="0" w:afterLines="0" w:line="360" w:lineRule="auto"/>
        <w:jc w:val="center"/>
        <w:rPr>
          <w:rFonts w:hint="default"/>
          <w:lang w:val="en-US" w:eastAsia="zh-CN"/>
        </w:rPr>
      </w:pPr>
      <w:r>
        <w:rPr>
          <w:rFonts w:hint="eastAsia"/>
          <w:lang w:val="en-US" w:eastAsia="zh-CN"/>
        </w:rPr>
        <w:t>Table 1</w:t>
      </w:r>
    </w:p>
    <w:tbl>
      <w:tblPr>
        <w:tblStyle w:val="19"/>
        <w:tblW w:w="7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OH value</w:t>
            </w:r>
          </w:p>
        </w:tc>
        <w:tc>
          <w:tcPr>
            <w:tcW w:w="2463" w:type="dxa"/>
          </w:tcPr>
          <w:p>
            <w:pPr>
              <w:overflowPunct w:val="0"/>
              <w:autoSpaceDE w:val="0"/>
              <w:autoSpaceDN w:val="0"/>
              <w:adjustRightInd w:val="0"/>
              <w:spacing w:before="0" w:beforeLines="0" w:after="0" w:afterLines="0" w:line="360" w:lineRule="auto"/>
              <w:textAlignment w:val="baseline"/>
              <w:rPr>
                <w:rFonts w:hint="eastAsia" w:eastAsia="宋体"/>
                <w:vertAlign w:val="baseline"/>
                <w:lang w:val="en-US" w:eastAsia="zh-CN"/>
              </w:rPr>
            </w:pPr>
            <w:r>
              <w:t xml:space="preserve">maximum RB allocation </w:t>
            </w:r>
            <w:r>
              <w:object>
                <v:shape id="_x0000_i1027"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lang w:val="en-US" w:eastAsia="zh-CN"/>
              </w:rPr>
              <w:t>=</w:t>
            </w:r>
            <w:r>
              <w:rPr>
                <w:rFonts w:hint="eastAsia"/>
                <w:vertAlign w:val="baseline"/>
                <w:lang w:val="en-US" w:eastAsia="zh-CN"/>
              </w:rPr>
              <w:t>25 for 15KHz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t xml:space="preserve">maximum RB allocation </w:t>
            </w:r>
            <w:r>
              <w:object>
                <v:shape id="_x0000_i1028"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2">
                  <o:LockedField>false</o:LockedField>
                </o:OLEObject>
              </w:object>
            </w:r>
            <w:r>
              <w:rPr>
                <w:rFonts w:hint="eastAsia"/>
                <w:lang w:val="en-US" w:eastAsia="zh-CN"/>
              </w:rPr>
              <w:t>=</w:t>
            </w:r>
            <w:r>
              <w:rPr>
                <w:rFonts w:hint="eastAsia"/>
                <w:vertAlign w:val="baseline"/>
                <w:lang w:val="en-US" w:eastAsia="zh-CN"/>
              </w:rPr>
              <w:t>12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10.03MHz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9.6MHz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10.7MHz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=3.2</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10.7MHz</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=3.2</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11.4MHz</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10.9MHz</w:t>
            </w:r>
          </w:p>
        </w:tc>
      </w:tr>
    </w:tbl>
    <w:p>
      <w:pPr>
        <w:spacing w:before="60" w:beforeLines="0" w:after="60" w:afterLines="0" w:line="360" w:lineRule="auto"/>
        <w:jc w:val="both"/>
      </w:pPr>
      <w:r>
        <w:t xml:space="preserve">From the table we can know that if UE peak data rate reduction is an </w:t>
      </w:r>
      <w:r>
        <w:rPr>
          <w:rFonts w:hint="eastAsia"/>
          <w:lang w:val="en-US" w:eastAsia="zh-CN"/>
        </w:rPr>
        <w:t>add-on technique to</w:t>
      </w:r>
      <w:r>
        <w:t xml:space="preserve"> UE BB bandwidth reduction, then the value of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 xml:space="preserve"> </w:t>
      </w:r>
      <w:r>
        <w:rPr>
          <w:rFonts w:hint="eastAsia"/>
          <w:lang w:val="en-US" w:eastAsia="zh-CN"/>
        </w:rPr>
        <w:t>that meets the minimum DL peak rate of 10 Mbps can be relaxed to 3.2.</w:t>
      </w:r>
    </w:p>
    <w:p>
      <w:pPr>
        <w:spacing w:before="0" w:beforeLines="0" w:after="0" w:afterLines="0" w:line="360" w:lineRule="auto"/>
        <w:jc w:val="both"/>
        <w:rPr>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5  </w:t>
      </w:r>
      <w:r>
        <w:rPr>
          <w:rFonts w:hint="eastAsia"/>
          <w:b/>
          <w:sz w:val="21"/>
          <w:szCs w:val="21"/>
          <w:lang w:val="en-US" w:eastAsia="zh-CN"/>
        </w:rPr>
        <w:t>I</w:t>
      </w:r>
      <w:r>
        <w:rPr>
          <w:rFonts w:hint="default"/>
          <w:b/>
          <w:sz w:val="21"/>
          <w:szCs w:val="21"/>
          <w:lang w:val="en-US" w:eastAsia="zh-CN"/>
        </w:rPr>
        <w:t>f UE peak data rate reduction is an add-on technique to UE BB bandwidth reduction</w:t>
      </w:r>
      <w:r>
        <w:rPr>
          <w:rFonts w:eastAsia="宋体"/>
          <w:b/>
          <w:sz w:val="21"/>
          <w:szCs w:val="21"/>
          <w:lang w:val="en-US" w:eastAsia="zh-CN"/>
        </w:rPr>
        <w:t>, the constraint</w:t>
      </w:r>
      <w:r>
        <w:rPr>
          <w:rFonts w:eastAsiaTheme="minorEastAsia"/>
          <w:sz w:val="21"/>
          <w:szCs w:val="21"/>
          <w:lang w:eastAsia="zh-CN"/>
        </w:rPr>
        <w:t xml:space="preserve"> </w:t>
      </w:r>
      <w:r>
        <w:rPr>
          <w:sz w:val="21"/>
          <w:szCs w:val="21"/>
        </w:rPr>
        <w:t>(</w:t>
      </w:r>
      <w:r>
        <w:rPr>
          <w:i/>
          <w:iCs/>
          <w:sz w:val="21"/>
          <w:szCs w:val="21"/>
        </w:rPr>
        <w:t>v</w:t>
      </w:r>
      <w:r>
        <w:rPr>
          <w:i/>
          <w:iCs/>
          <w:sz w:val="21"/>
          <w:szCs w:val="21"/>
          <w:vertAlign w:val="subscript"/>
        </w:rPr>
        <w:t>Layers</w:t>
      </w:r>
      <w:r>
        <w:rPr>
          <w:sz w:val="21"/>
          <w:szCs w:val="21"/>
        </w:rPr>
        <w:t>·</w:t>
      </w:r>
      <w:r>
        <w:rPr>
          <w:i/>
          <w:iCs/>
          <w:sz w:val="21"/>
          <w:szCs w:val="21"/>
        </w:rPr>
        <w:t>Q</w:t>
      </w:r>
      <w:r>
        <w:rPr>
          <w:i/>
          <w:iCs/>
          <w:sz w:val="21"/>
          <w:szCs w:val="21"/>
          <w:vertAlign w:val="subscript"/>
        </w:rPr>
        <w:t>m</w:t>
      </w:r>
      <w:r>
        <w:rPr>
          <w:sz w:val="21"/>
          <w:szCs w:val="21"/>
        </w:rPr>
        <w:t>·</w:t>
      </w:r>
      <w:r>
        <w:rPr>
          <w:i/>
          <w:iCs/>
          <w:sz w:val="21"/>
          <w:szCs w:val="21"/>
        </w:rPr>
        <w:t>f</w:t>
      </w:r>
      <w:r>
        <w:rPr>
          <w:sz w:val="21"/>
          <w:szCs w:val="21"/>
        </w:rPr>
        <w:t>)</w:t>
      </w:r>
      <w:r>
        <w:rPr>
          <w:b/>
          <w:sz w:val="21"/>
          <w:szCs w:val="21"/>
          <w:lang w:val="en-US" w:eastAsia="zh-CN"/>
        </w:rPr>
        <w:t xml:space="preserve"> value can be relaxed to 3</w:t>
      </w:r>
      <w:r>
        <w:rPr>
          <w:rFonts w:hint="eastAsia"/>
          <w:b/>
          <w:sz w:val="21"/>
          <w:szCs w:val="21"/>
          <w:lang w:val="en-US" w:eastAsia="zh-CN"/>
        </w:rPr>
        <w:t>.2</w:t>
      </w:r>
      <w:r>
        <w:rPr>
          <w:b/>
          <w:sz w:val="21"/>
          <w:szCs w:val="21"/>
          <w:lang w:val="en-US" w:eastAsia="zh-CN"/>
        </w:rPr>
        <w:t>.</w:t>
      </w:r>
    </w:p>
    <w:p>
      <w:pPr>
        <w:overflowPunct/>
        <w:autoSpaceDE/>
        <w:autoSpaceDN/>
        <w:adjustRightInd/>
        <w:spacing w:before="60" w:beforeLines="0" w:after="60" w:afterLines="0" w:line="360" w:lineRule="auto"/>
        <w:jc w:val="both"/>
        <w:textAlignment w:val="auto"/>
        <w:rPr>
          <w:rFonts w:hint="eastAsia"/>
          <w:b w:val="0"/>
          <w:sz w:val="20"/>
          <w:szCs w:val="20"/>
          <w:lang w:val="en-US" w:eastAsia="zh-CN"/>
        </w:rPr>
      </w:pPr>
      <w:r>
        <w:rPr>
          <w:rFonts w:hint="eastAsia"/>
          <w:b w:val="0"/>
          <w:bCs w:val="0"/>
          <w:sz w:val="20"/>
          <w:szCs w:val="20"/>
          <w:lang w:val="en-US" w:eastAsia="zh-CN"/>
        </w:rPr>
        <w:t xml:space="preserve">According to the discussion in RAN#99 meeting[3], </w:t>
      </w:r>
      <w:r>
        <w:rPr>
          <w:rFonts w:hint="eastAsia" w:eastAsia="宋体"/>
          <w:lang w:val="en-US" w:eastAsia="zh-CN"/>
        </w:rPr>
        <w:t xml:space="preserve">UE peak data rate reduction </w:t>
      </w:r>
      <w:r>
        <w:rPr>
          <w:rFonts w:hint="eastAsia"/>
          <w:lang w:val="en-US" w:eastAsia="zh-CN"/>
        </w:rPr>
        <w:t>can be</w:t>
      </w:r>
      <w:r>
        <w:rPr>
          <w:rFonts w:hint="eastAsia" w:eastAsia="宋体"/>
          <w:lang w:val="en-US" w:eastAsia="zh-CN"/>
        </w:rPr>
        <w:t xml:space="preserve"> an </w:t>
      </w:r>
      <w:r>
        <w:rPr>
          <w:rFonts w:hint="eastAsia"/>
          <w:lang w:val="en-US" w:eastAsia="zh-CN"/>
        </w:rPr>
        <w:t>standalone</w:t>
      </w:r>
      <w:r>
        <w:rPr>
          <w:rFonts w:hint="eastAsia" w:eastAsia="宋体"/>
          <w:lang w:val="en-US" w:eastAsia="zh-CN"/>
        </w:rPr>
        <w:t xml:space="preserve"> technique</w:t>
      </w:r>
      <w:r>
        <w:rPr>
          <w:rFonts w:hint="eastAsia"/>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hint="default" w:eastAsia="宋体"/>
                <w:b/>
                <w:bCs/>
                <w:sz w:val="20"/>
                <w:szCs w:val="20"/>
                <w:lang w:val="en-US" w:eastAsia="zh-CN"/>
              </w:rPr>
            </w:pPr>
            <w:r>
              <w:rPr>
                <w:rFonts w:hint="eastAsia"/>
                <w:b/>
                <w:bCs/>
                <w:sz w:val="20"/>
                <w:szCs w:val="20"/>
                <w:lang w:val="en-US" w:eastAsia="zh-CN"/>
              </w:rPr>
              <w:t>Proposal</w:t>
            </w:r>
          </w:p>
          <w:p>
            <w:pPr>
              <w:overflowPunct w:val="0"/>
              <w:autoSpaceDE w:val="0"/>
              <w:autoSpaceDN w:val="0"/>
              <w:adjustRightInd w:val="0"/>
              <w:textAlignment w:val="baseline"/>
              <w:rPr>
                <w:b/>
                <w:bCs/>
                <w:sz w:val="20"/>
                <w:szCs w:val="20"/>
              </w:rPr>
            </w:pPr>
            <w:r>
              <w:rPr>
                <w:b/>
                <w:bCs/>
                <w:sz w:val="20"/>
                <w:szCs w:val="20"/>
              </w:rPr>
              <w:t>Rel-18 eRedCap UE capable of 20MHz + PR1 and Rel-18 eRedCap UE capable of BW3/PR3 + PR1 are designed/targeted to same peak data rate, i.e., 10Mbps</w:t>
            </w:r>
          </w:p>
          <w:p>
            <w:pPr>
              <w:overflowPunct w:val="0"/>
              <w:autoSpaceDE w:val="0"/>
              <w:autoSpaceDN w:val="0"/>
              <w:adjustRightInd w:val="0"/>
              <w:ind w:left="849" w:hanging="772" w:hangingChars="386"/>
              <w:textAlignment w:val="baseline"/>
              <w:rPr>
                <w:rFonts w:ascii="Times New Roman" w:hAnsi="Times New Roman" w:cs="Times New Roman"/>
                <w:sz w:val="20"/>
                <w:szCs w:val="20"/>
              </w:rPr>
            </w:pPr>
            <w:r>
              <w:rPr>
                <w:rFonts w:hint="eastAsia" w:ascii="Times New Roman" w:hAnsi="Times New Roman" w:cs="Times New Roman"/>
                <w:sz w:val="20"/>
                <w:szCs w:val="20"/>
              </w:rPr>
              <w:t>N</w:t>
            </w:r>
            <w:r>
              <w:rPr>
                <w:rFonts w:ascii="Times New Roman" w:hAnsi="Times New Roman" w:cs="Times New Roman"/>
                <w:sz w:val="20"/>
                <w:szCs w:val="20"/>
              </w:rPr>
              <w:t>ote 1: Peak data rate of "Rel-18 eRedCap: UE capable of 20MHz + PR1" and "Rel-18 eRedCap: UE capable of BW3/PR3 + PR1" is same including unicast and broadcast respectively.</w:t>
            </w:r>
          </w:p>
          <w:p>
            <w:pPr>
              <w:overflowPunct w:val="0"/>
              <w:autoSpaceDE w:val="0"/>
              <w:autoSpaceDN w:val="0"/>
              <w:adjustRightInd w:val="0"/>
              <w:ind w:left="849" w:hanging="772" w:hangingChars="386"/>
              <w:textAlignment w:val="baseline"/>
              <w:rPr>
                <w:rFonts w:ascii="Times New Roman" w:hAnsi="Times New Roman" w:cs="Times New Roman"/>
                <w:sz w:val="20"/>
                <w:szCs w:val="20"/>
              </w:rPr>
            </w:pPr>
            <w:r>
              <w:rPr>
                <w:rFonts w:ascii="Times New Roman" w:hAnsi="Times New Roman" w:cs="Times New Roman"/>
                <w:sz w:val="20"/>
                <w:szCs w:val="20"/>
              </w:rPr>
              <w:t>Note 2: PRB processing capability of "Rel-18 eRedCap: UE capable of 20MHz + PR1" is not limited to "25 PRBs for 15 kHz SCS and 12 PRBs for 30 kHz SCS" and it corresponds to PRB size corresponding to 20 MHz.</w:t>
            </w:r>
          </w:p>
          <w:p>
            <w:pPr>
              <w:overflowPunct w:val="0"/>
              <w:autoSpaceDE w:val="0"/>
              <w:autoSpaceDN w:val="0"/>
              <w:adjustRightInd w:val="0"/>
              <w:ind w:left="849" w:hanging="772" w:hangingChars="386"/>
              <w:textAlignment w:val="baseline"/>
              <w:rPr>
                <w:rFonts w:ascii="Times New Roman" w:hAnsi="Times New Roman" w:cs="Times New Roman"/>
                <w:sz w:val="20"/>
                <w:szCs w:val="20"/>
              </w:rPr>
            </w:pPr>
            <w:r>
              <w:rPr>
                <w:rFonts w:hint="eastAsia" w:ascii="Times New Roman" w:hAnsi="Times New Roman" w:cs="Times New Roman"/>
                <w:sz w:val="20"/>
                <w:szCs w:val="20"/>
              </w:rPr>
              <w:t>N</w:t>
            </w:r>
            <w:r>
              <w:rPr>
                <w:rFonts w:ascii="Times New Roman" w:hAnsi="Times New Roman" w:cs="Times New Roman"/>
                <w:sz w:val="20"/>
                <w:szCs w:val="20"/>
              </w:rPr>
              <w:t>ote 3: The only difference between "Rel-18 eRedCap: UE capable of 20MHz + PR1" and "Rel-18 eRedCap: UE capable of BW3/PR3 + PR1" is Note 2 and </w:t>
            </w:r>
            <w:r>
              <w:rPr>
                <w:rFonts w:ascii="Times New Roman" w:hAnsi="Times New Roman" w:eastAsia="Microsoft YaHei UI" w:cs="Times New Roman"/>
                <w:b/>
                <w:bCs/>
                <w:i/>
                <w:iCs/>
                <w:color w:val="000000"/>
                <w:kern w:val="0"/>
                <w:sz w:val="20"/>
                <w:szCs w:val="20"/>
              </w:rPr>
              <w:t>v</w:t>
            </w:r>
            <w:r>
              <w:rPr>
                <w:rFonts w:ascii="Times New Roman" w:hAnsi="Times New Roman" w:eastAsia="Microsoft YaHei UI" w:cs="Times New Roman"/>
                <w:b/>
                <w:bCs/>
                <w:i/>
                <w:iCs/>
                <w:color w:val="000000"/>
                <w:kern w:val="0"/>
                <w:sz w:val="20"/>
                <w:szCs w:val="20"/>
                <w:vertAlign w:val="subscript"/>
              </w:rPr>
              <w:t>Layers</w:t>
            </w:r>
            <w:r>
              <w:rPr>
                <w:rFonts w:ascii="Times New Roman" w:hAnsi="Times New Roman" w:eastAsia="Microsoft YaHei UI" w:cs="Times New Roman"/>
                <w:b/>
                <w:bCs/>
                <w:color w:val="000000"/>
                <w:kern w:val="0"/>
                <w:sz w:val="20"/>
                <w:szCs w:val="20"/>
              </w:rPr>
              <w:t>·</w:t>
            </w:r>
            <w:r>
              <w:rPr>
                <w:rFonts w:ascii="Times New Roman" w:hAnsi="Times New Roman" w:eastAsia="Microsoft YaHei UI" w:cs="Times New Roman"/>
                <w:b/>
                <w:bCs/>
                <w:i/>
                <w:iCs/>
                <w:color w:val="000000"/>
                <w:kern w:val="0"/>
                <w:sz w:val="20"/>
                <w:szCs w:val="20"/>
              </w:rPr>
              <w:t>Q</w:t>
            </w:r>
            <w:r>
              <w:rPr>
                <w:rFonts w:ascii="Times New Roman" w:hAnsi="Times New Roman" w:eastAsia="Microsoft YaHei UI" w:cs="Times New Roman"/>
                <w:b/>
                <w:bCs/>
                <w:i/>
                <w:iCs/>
                <w:color w:val="000000"/>
                <w:kern w:val="0"/>
                <w:sz w:val="20"/>
                <w:szCs w:val="20"/>
                <w:vertAlign w:val="subscript"/>
              </w:rPr>
              <w:t>m</w:t>
            </w:r>
            <w:r>
              <w:rPr>
                <w:rFonts w:ascii="Times New Roman" w:hAnsi="Times New Roman" w:eastAsia="Microsoft YaHei UI" w:cs="Times New Roman"/>
                <w:b/>
                <w:bCs/>
                <w:color w:val="000000"/>
                <w:kern w:val="0"/>
                <w:sz w:val="20"/>
                <w:szCs w:val="20"/>
              </w:rPr>
              <w:t>·</w:t>
            </w:r>
            <w:r>
              <w:rPr>
                <w:rFonts w:ascii="Times New Roman" w:hAnsi="Times New Roman" w:eastAsia="Microsoft YaHei UI" w:cs="Times New Roman"/>
                <w:b/>
                <w:bCs/>
                <w:i/>
                <w:iCs/>
                <w:color w:val="000000"/>
                <w:kern w:val="0"/>
                <w:sz w:val="20"/>
                <w:szCs w:val="20"/>
              </w:rPr>
              <w:t>f</w:t>
            </w:r>
            <w:r>
              <w:rPr>
                <w:rFonts w:ascii="Times New Roman" w:hAnsi="Times New Roman" w:eastAsia="Microsoft YaHei UI" w:cs="Times New Roman"/>
                <w:b/>
                <w:bCs/>
                <w:color w:val="000000"/>
                <w:kern w:val="0"/>
                <w:sz w:val="20"/>
                <w:szCs w:val="20"/>
              </w:rPr>
              <w:t> </w:t>
            </w:r>
            <w:r>
              <w:rPr>
                <w:rFonts w:ascii="Times New Roman" w:hAnsi="Times New Roman" w:cs="Times New Roman"/>
                <w:sz w:val="20"/>
                <w:szCs w:val="20"/>
              </w:rPr>
              <w:t>  in order to have the same peak rate.</w:t>
            </w:r>
          </w:p>
          <w:p>
            <w:pPr>
              <w:overflowPunct w:val="0"/>
              <w:autoSpaceDE w:val="0"/>
              <w:autoSpaceDN w:val="0"/>
              <w:adjustRightInd w:val="0"/>
              <w:textAlignment w:val="baseline"/>
              <w:rPr>
                <w:rFonts w:ascii="Times New Roman" w:hAnsi="Times New Roman" w:cs="Times New Roman"/>
                <w:sz w:val="20"/>
                <w:szCs w:val="20"/>
              </w:rPr>
            </w:pPr>
            <w:r>
              <w:rPr>
                <w:rFonts w:hint="eastAsia" w:ascii="Times New Roman" w:hAnsi="Times New Roman" w:cs="Times New Roman"/>
                <w:sz w:val="20"/>
                <w:szCs w:val="20"/>
              </w:rPr>
              <w:t>N</w:t>
            </w:r>
            <w:r>
              <w:rPr>
                <w:rFonts w:ascii="Times New Roman" w:hAnsi="Times New Roman" w:cs="Times New Roman"/>
                <w:sz w:val="20"/>
                <w:szCs w:val="20"/>
              </w:rPr>
              <w:t>ote 4: The initial access procedure of Rel-18 eRedCap UE capable of 20MHz + PR1 is realized by following:</w:t>
            </w:r>
          </w:p>
          <w:p>
            <w:pPr>
              <w:pStyle w:val="23"/>
              <w:numPr>
                <w:ilvl w:val="0"/>
                <w:numId w:val="9"/>
              </w:numPr>
              <w:overflowPunct w:val="0"/>
              <w:autoSpaceDE w:val="0"/>
              <w:autoSpaceDN w:val="0"/>
              <w:adjustRightInd w:val="0"/>
              <w:textAlignment w:val="baseline"/>
              <w:rPr>
                <w:rFonts w:ascii="Times New Roman" w:hAnsi="Times New Roman" w:cs="Times New Roman"/>
                <w:szCs w:val="24"/>
              </w:rPr>
            </w:pPr>
            <w:r>
              <w:rPr>
                <w:rFonts w:ascii="Times New Roman" w:hAnsi="Times New Roman" w:cs="Times New Roman"/>
                <w:szCs w:val="20"/>
              </w:rPr>
              <w:t>Same as Rel-18 eRedCap UE capable of BW3/PR3 + PR1</w:t>
            </w:r>
          </w:p>
          <w:p>
            <w:pPr>
              <w:overflowPunct w:val="0"/>
              <w:autoSpaceDE w:val="0"/>
              <w:autoSpaceDN w:val="0"/>
              <w:adjustRightInd w:val="0"/>
              <w:spacing w:before="0" w:beforeLines="0" w:after="0" w:afterLines="0" w:line="360" w:lineRule="auto"/>
              <w:jc w:val="both"/>
              <w:textAlignment w:val="baseline"/>
              <w:rPr>
                <w:rFonts w:hint="eastAsia"/>
                <w:b/>
                <w:sz w:val="21"/>
                <w:szCs w:val="22"/>
                <w:vertAlign w:val="baseline"/>
                <w:lang w:val="en-US" w:eastAsia="zh-CN"/>
              </w:rPr>
            </w:pPr>
          </w:p>
        </w:tc>
      </w:tr>
    </w:tbl>
    <w:p>
      <w:pPr>
        <w:spacing w:before="60" w:beforeLines="0" w:after="60" w:afterLines="0" w:line="360" w:lineRule="auto"/>
        <w:jc w:val="both"/>
        <w:rPr>
          <w:rFonts w:hint="eastAsia"/>
          <w:lang w:val="en-US" w:eastAsia="zh-CN"/>
        </w:rPr>
      </w:pPr>
      <w:r>
        <w:rPr>
          <w:rFonts w:hint="eastAsia"/>
          <w:lang w:val="en-US" w:eastAsia="zh-CN"/>
        </w:rPr>
        <w:t>Similarly, if UE peak data rate reduction is an standalone technique, the maximum RB allocation in columns 2-3 in Table 1 can be modified to the number of PRBs corresponding to 20MHz. The 20MHz bandwidth and its corresponding peak rate are shown in Table 2.</w:t>
      </w:r>
    </w:p>
    <w:p>
      <w:pPr>
        <w:spacing w:before="0" w:beforeLines="0" w:after="0" w:afterLines="0" w:line="360" w:lineRule="auto"/>
        <w:jc w:val="center"/>
        <w:rPr>
          <w:rFonts w:hint="default"/>
          <w:lang w:val="en-US" w:eastAsia="zh-CN"/>
        </w:rPr>
      </w:pPr>
      <w:r>
        <w:rPr>
          <w:rFonts w:hint="eastAsia"/>
          <w:lang w:val="en-US" w:eastAsia="zh-CN"/>
        </w:rPr>
        <w:t>Table 2</w:t>
      </w:r>
    </w:p>
    <w:tbl>
      <w:tblPr>
        <w:tblStyle w:val="19"/>
        <w:tblW w:w="7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OH value</w:t>
            </w:r>
          </w:p>
        </w:tc>
        <w:tc>
          <w:tcPr>
            <w:tcW w:w="2463" w:type="dxa"/>
          </w:tcPr>
          <w:p>
            <w:pPr>
              <w:overflowPunct w:val="0"/>
              <w:autoSpaceDE w:val="0"/>
              <w:autoSpaceDN w:val="0"/>
              <w:adjustRightInd w:val="0"/>
              <w:spacing w:before="0" w:beforeLines="0" w:after="0" w:afterLines="0" w:line="360" w:lineRule="auto"/>
              <w:textAlignment w:val="baseline"/>
              <w:rPr>
                <w:rFonts w:hint="eastAsia" w:eastAsia="宋体"/>
                <w:vertAlign w:val="baseline"/>
                <w:lang w:val="en-US" w:eastAsia="zh-CN"/>
              </w:rPr>
            </w:pPr>
            <w:r>
              <w:t xml:space="preserve">maximum RB allocation </w:t>
            </w:r>
            <w:r>
              <w:object>
                <v:shape id="_x0000_i1029"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3">
                  <o:LockedField>false</o:LockedField>
                </o:OLEObject>
              </w:object>
            </w:r>
            <w:r>
              <w:rPr>
                <w:rFonts w:hint="eastAsia"/>
                <w:lang w:val="en-US" w:eastAsia="zh-CN"/>
              </w:rPr>
              <w:t>=106</w:t>
            </w:r>
            <w:r>
              <w:rPr>
                <w:rFonts w:hint="eastAsia"/>
                <w:vertAlign w:val="baseline"/>
                <w:lang w:val="en-US" w:eastAsia="zh-CN"/>
              </w:rPr>
              <w:t xml:space="preserve"> for 15KHz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t xml:space="preserve">maximum RB allocation </w:t>
            </w:r>
            <w:r>
              <w:object>
                <v:shape id="_x0000_i1030" o:spt="75" type="#_x0000_t75" style="height:16.5pt;width:37.5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4">
                  <o:LockedField>false</o:LockedField>
                </o:OLEObject>
              </w:object>
            </w:r>
            <w:r>
              <w:rPr>
                <w:rFonts w:hint="eastAsia"/>
                <w:lang w:val="en-US" w:eastAsia="zh-CN"/>
              </w:rPr>
              <w:t>=51</w:t>
            </w:r>
            <w:r>
              <w:rPr>
                <w:rFonts w:hint="eastAsia"/>
                <w:vertAlign w:val="baseline"/>
                <w:lang w:val="en-US" w:eastAsia="zh-CN"/>
              </w:rPr>
              <w:t xml:space="preserve">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=1</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14</w:t>
            </w:r>
            <w:r>
              <w:rPr>
                <w:rFonts w:hint="eastAsia"/>
                <w:vertAlign w:val="baseline"/>
                <w:lang w:val="en-US" w:eastAsia="zh-CN"/>
              </w:rPr>
              <w:t>MHz</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13.6</w:t>
            </w:r>
            <w:r>
              <w:rPr>
                <w:rFonts w:hint="eastAsia"/>
                <w:vertAlign w:val="baseline"/>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=1</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15.2</w:t>
            </w:r>
            <w:r>
              <w:rPr>
                <w:rFonts w:hint="eastAsia"/>
                <w:vertAlign w:val="baseline"/>
                <w:lang w:val="en-US" w:eastAsia="zh-CN"/>
              </w:rPr>
              <w:t>MHz</w:t>
            </w:r>
          </w:p>
        </w:tc>
        <w:tc>
          <w:tcPr>
            <w:tcW w:w="2463" w:type="dxa"/>
          </w:tcPr>
          <w:p>
            <w:pPr>
              <w:overflowPunct w:val="0"/>
              <w:autoSpaceDE w:val="0"/>
              <w:autoSpaceDN w:val="0"/>
              <w:adjustRightInd w:val="0"/>
              <w:textAlignment w:val="baseline"/>
              <w:rPr>
                <w:rFonts w:hint="default" w:eastAsia="宋体"/>
                <w:lang w:val="en-US" w:eastAsia="zh-CN"/>
              </w:rPr>
            </w:pPr>
            <w:r>
              <w:rPr>
                <w:rFonts w:hint="eastAsia"/>
                <w:lang w:val="en-US" w:eastAsia="zh-CN"/>
              </w:rPr>
              <w:t>DL data rate: 14.6</w:t>
            </w:r>
            <w:r>
              <w:rPr>
                <w:rFonts w:hint="eastAsia"/>
                <w:vertAlign w:val="baseline"/>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=0.8</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11.3MHz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10.9MHz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default"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=0.8</w:t>
            </w:r>
          </w:p>
        </w:tc>
        <w:tc>
          <w:tcPr>
            <w:tcW w:w="2463" w:type="dxa"/>
          </w:tcPr>
          <w:p>
            <w:pPr>
              <w:overflowPunct w:val="0"/>
              <w:autoSpaceDE w:val="0"/>
              <w:autoSpaceDN w:val="0"/>
              <w:adjustRightInd w:val="0"/>
              <w:spacing w:before="0" w:beforeLines="0" w:after="0" w:afterLines="0" w:line="360" w:lineRule="auto"/>
              <w:textAlignment w:val="baseline"/>
              <w:rPr>
                <w:rFonts w:hint="default"/>
                <w:vertAlign w:val="baseline"/>
                <w:lang w:val="en-US" w:eastAsia="zh-CN"/>
              </w:rPr>
            </w:pPr>
            <w:r>
              <w:rPr>
                <w:rFonts w:hint="eastAsia"/>
                <w:vertAlign w:val="baseline"/>
                <w:lang w:val="en-US" w:eastAsia="zh-CN"/>
              </w:rPr>
              <w:t>DL data rate: 12.1MHz</w:t>
            </w:r>
          </w:p>
        </w:tc>
        <w:tc>
          <w:tcPr>
            <w:tcW w:w="2463" w:type="dxa"/>
          </w:tcPr>
          <w:p>
            <w:pPr>
              <w:overflowPunct w:val="0"/>
              <w:autoSpaceDE w:val="0"/>
              <w:autoSpaceDN w:val="0"/>
              <w:adjustRightInd w:val="0"/>
              <w:spacing w:before="0" w:beforeLines="0" w:after="0" w:afterLines="0" w:line="360" w:lineRule="auto"/>
              <w:textAlignment w:val="baseline"/>
              <w:rPr>
                <w:rFonts w:hint="default" w:eastAsia="宋体"/>
                <w:vertAlign w:val="baseline"/>
                <w:lang w:val="en-US" w:eastAsia="zh-CN"/>
              </w:rPr>
            </w:pPr>
            <w:r>
              <w:rPr>
                <w:rFonts w:hint="eastAsia"/>
                <w:vertAlign w:val="baseline"/>
                <w:lang w:val="en-US" w:eastAsia="zh-CN"/>
              </w:rPr>
              <w:t>DL data rate: 11.7MHz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0.14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=0.7</w:t>
            </w:r>
          </w:p>
        </w:tc>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9.9MHz</w:t>
            </w:r>
          </w:p>
        </w:tc>
        <w:tc>
          <w:tcPr>
            <w:tcW w:w="2463" w:type="dxa"/>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9.5MHz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0.08 and </w:t>
            </w:r>
            <w:r>
              <w:rPr>
                <w:i/>
                <w:iCs/>
              </w:rPr>
              <w:t>v</w:t>
            </w:r>
            <w:r>
              <w:rPr>
                <w:i/>
                <w:iCs/>
                <w:vertAlign w:val="subscript"/>
              </w:rPr>
              <w:t>Layers</w:t>
            </w:r>
            <w:r>
              <w:t>·</w:t>
            </w:r>
            <w:r>
              <w:rPr>
                <w:i/>
                <w:iCs/>
              </w:rPr>
              <w:t>Q</w:t>
            </w:r>
            <w:r>
              <w:rPr>
                <w:i/>
                <w:iCs/>
                <w:vertAlign w:val="subscript"/>
              </w:rPr>
              <w:t>m</w:t>
            </w:r>
            <w:r>
              <w:t>·</w:t>
            </w:r>
            <w:r>
              <w:rPr>
                <w:i/>
                <w:iCs/>
              </w:rPr>
              <w:t>f</w:t>
            </w:r>
            <w:r>
              <w:rPr>
                <w:rFonts w:hint="eastAsia"/>
                <w:i/>
                <w:iCs/>
                <w:lang w:val="en-US" w:eastAsia="zh-CN"/>
              </w:rPr>
              <w:t>=0.7</w:t>
            </w:r>
          </w:p>
        </w:tc>
        <w:tc>
          <w:tcPr>
            <w:tcW w:w="0" w:type="auto"/>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10.6MHz</w:t>
            </w:r>
          </w:p>
        </w:tc>
        <w:tc>
          <w:tcPr>
            <w:tcW w:w="0" w:type="auto"/>
            <w:vAlign w:val="top"/>
          </w:tcPr>
          <w:p>
            <w:pPr>
              <w:overflowPunct w:val="0"/>
              <w:autoSpaceDE w:val="0"/>
              <w:autoSpaceDN w:val="0"/>
              <w:adjustRightInd w:val="0"/>
              <w:spacing w:before="0" w:beforeLines="0" w:after="0" w:afterLines="0" w:line="360" w:lineRule="auto"/>
              <w:ind w:left="0" w:leftChars="0" w:firstLine="0" w:firstLineChars="0"/>
              <w:textAlignment w:val="baseline"/>
              <w:rPr>
                <w:rFonts w:hint="eastAsia" w:ascii="Times New Roman" w:hAnsi="Times New Roman" w:eastAsia="宋体" w:cs="Times New Roman"/>
                <w:vertAlign w:val="baseline"/>
                <w:lang w:val="en-US" w:eastAsia="zh-CN" w:bidi="ar-SA"/>
              </w:rPr>
            </w:pPr>
            <w:r>
              <w:rPr>
                <w:rFonts w:hint="eastAsia"/>
                <w:vertAlign w:val="baseline"/>
                <w:lang w:val="en-US" w:eastAsia="zh-CN"/>
              </w:rPr>
              <w:t>DL data rate: 10.2MHz</w:t>
            </w:r>
          </w:p>
        </w:tc>
      </w:tr>
    </w:tbl>
    <w:p>
      <w:pPr>
        <w:overflowPunct/>
        <w:autoSpaceDE/>
        <w:autoSpaceDN/>
        <w:adjustRightInd/>
        <w:spacing w:before="60" w:beforeLines="0" w:after="60" w:afterLines="0" w:line="360" w:lineRule="auto"/>
        <w:jc w:val="both"/>
        <w:textAlignment w:val="auto"/>
        <w:rPr>
          <w:rFonts w:hint="eastAsia"/>
          <w:b w:val="0"/>
          <w:bCs w:val="0"/>
          <w:sz w:val="20"/>
          <w:szCs w:val="20"/>
          <w:lang w:val="en-US" w:eastAsia="zh-CN"/>
        </w:rPr>
      </w:pPr>
      <w:r>
        <w:rPr>
          <w:rFonts w:hint="eastAsia"/>
          <w:lang w:val="en-US" w:eastAsia="zh-CN"/>
        </w:rPr>
        <w:t>From the table we can know that if UE peak data rate reduction is an standalone</w:t>
      </w:r>
      <w:r>
        <w:rPr>
          <w:rFonts w:hint="eastAsia" w:eastAsia="宋体"/>
          <w:lang w:val="en-US" w:eastAsia="zh-CN"/>
        </w:rPr>
        <w:t xml:space="preserve"> technique</w:t>
      </w:r>
      <w:r>
        <w:rPr>
          <w:rFonts w:hint="eastAsia"/>
          <w:lang w:val="en-US" w:eastAsia="zh-CN"/>
        </w:rPr>
        <w:t xml:space="preserve"> technique to UE BB bandwidth reduction, then the value of </w:t>
      </w:r>
      <w:r>
        <w:rPr>
          <w:rFonts w:hint="eastAsia"/>
          <w:i w:val="0"/>
          <w:iCs w:val="0"/>
          <w:lang w:val="en-US" w:eastAsia="zh-CN"/>
        </w:rPr>
        <w:t>v</w:t>
      </w:r>
      <w:r>
        <w:rPr>
          <w:rFonts w:hint="eastAsia"/>
          <w:i w:val="0"/>
          <w:iCs w:val="0"/>
          <w:vertAlign w:val="baseline"/>
          <w:lang w:val="en-US" w:eastAsia="zh-CN"/>
        </w:rPr>
        <w:t>Layers</w:t>
      </w:r>
      <w:r>
        <w:rPr>
          <w:rFonts w:hint="eastAsia"/>
          <w:lang w:val="en-US" w:eastAsia="zh-CN"/>
        </w:rPr>
        <w:t>·</w:t>
      </w:r>
      <w:r>
        <w:rPr>
          <w:rFonts w:hint="eastAsia"/>
          <w:i w:val="0"/>
          <w:iCs w:val="0"/>
          <w:lang w:val="en-US" w:eastAsia="zh-CN"/>
        </w:rPr>
        <w:t>Q</w:t>
      </w:r>
      <w:r>
        <w:rPr>
          <w:rFonts w:hint="eastAsia"/>
          <w:i w:val="0"/>
          <w:iCs w:val="0"/>
          <w:vertAlign w:val="baseline"/>
          <w:lang w:val="en-US" w:eastAsia="zh-CN"/>
        </w:rPr>
        <w:t>m</w:t>
      </w:r>
      <w:r>
        <w:rPr>
          <w:rFonts w:hint="eastAsia"/>
          <w:lang w:val="en-US" w:eastAsia="zh-CN"/>
        </w:rPr>
        <w:t>·</w:t>
      </w:r>
      <w:r>
        <w:rPr>
          <w:rFonts w:hint="eastAsia"/>
          <w:i w:val="0"/>
          <w:iCs w:val="0"/>
          <w:lang w:val="en-US" w:eastAsia="zh-CN"/>
        </w:rPr>
        <w:t xml:space="preserve">f </w:t>
      </w:r>
      <w:r>
        <w:rPr>
          <w:rFonts w:hint="eastAsia"/>
          <w:lang w:val="en-US" w:eastAsia="zh-CN"/>
        </w:rPr>
        <w:t>that meets the minimum DL peak rate of 10 Mbps can be relaxed to 0.8.</w:t>
      </w:r>
    </w:p>
    <w:p>
      <w:pPr>
        <w:spacing w:before="0" w:beforeLines="0" w:after="0" w:afterLines="0" w:line="360" w:lineRule="auto"/>
        <w:jc w:val="both"/>
        <w:rPr>
          <w:b/>
          <w:bCs/>
          <w:lang w:val="en-US"/>
        </w:rPr>
      </w:pPr>
      <w:r>
        <w:rPr>
          <w:rFonts w:hint="default"/>
          <w:b/>
          <w:sz w:val="21"/>
          <w:szCs w:val="22"/>
          <w:lang w:val="en-US" w:eastAsia="zh-CN"/>
        </w:rPr>
        <w:t xml:space="preserve">Proposal </w:t>
      </w:r>
      <w:r>
        <w:rPr>
          <w:rFonts w:hint="eastAsia"/>
          <w:b/>
          <w:sz w:val="21"/>
          <w:szCs w:val="22"/>
          <w:lang w:val="en-US" w:eastAsia="zh-CN"/>
        </w:rPr>
        <w:t>6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w:t>
      </w:r>
      <w:r>
        <w:rPr>
          <w:rFonts w:eastAsiaTheme="minorEastAsia"/>
          <w:sz w:val="21"/>
          <w:szCs w:val="21"/>
          <w:lang w:eastAsia="zh-CN"/>
        </w:rPr>
        <w:t xml:space="preserve"> </w:t>
      </w:r>
      <w:r>
        <w:rPr>
          <w:sz w:val="21"/>
          <w:szCs w:val="21"/>
        </w:rPr>
        <w:t>(</w:t>
      </w:r>
      <w:r>
        <w:rPr>
          <w:i/>
          <w:iCs/>
          <w:sz w:val="21"/>
          <w:szCs w:val="21"/>
        </w:rPr>
        <w:t>v</w:t>
      </w:r>
      <w:r>
        <w:rPr>
          <w:i/>
          <w:iCs/>
          <w:sz w:val="21"/>
          <w:szCs w:val="21"/>
          <w:vertAlign w:val="subscript"/>
        </w:rPr>
        <w:t>Layers</w:t>
      </w:r>
      <w:r>
        <w:rPr>
          <w:sz w:val="21"/>
          <w:szCs w:val="21"/>
        </w:rPr>
        <w:t>·</w:t>
      </w:r>
      <w:r>
        <w:rPr>
          <w:i/>
          <w:iCs/>
          <w:sz w:val="21"/>
          <w:szCs w:val="21"/>
        </w:rPr>
        <w:t>Q</w:t>
      </w:r>
      <w:r>
        <w:rPr>
          <w:i/>
          <w:iCs/>
          <w:sz w:val="21"/>
          <w:szCs w:val="21"/>
          <w:vertAlign w:val="subscript"/>
        </w:rPr>
        <w:t>m</w:t>
      </w:r>
      <w:r>
        <w:rPr>
          <w:sz w:val="21"/>
          <w:szCs w:val="21"/>
        </w:rPr>
        <w:t>·</w:t>
      </w:r>
      <w:r>
        <w:rPr>
          <w:i/>
          <w:iCs/>
          <w:sz w:val="21"/>
          <w:szCs w:val="21"/>
        </w:rPr>
        <w:t>f</w:t>
      </w:r>
      <w:r>
        <w:rPr>
          <w:sz w:val="21"/>
          <w:szCs w:val="21"/>
        </w:rPr>
        <w:t>)</w:t>
      </w:r>
      <w:r>
        <w:rPr>
          <w:b/>
          <w:sz w:val="21"/>
          <w:szCs w:val="21"/>
          <w:lang w:val="en-US" w:eastAsia="zh-CN"/>
        </w:rPr>
        <w:t xml:space="preserve"> </w:t>
      </w:r>
      <w:r>
        <w:rPr>
          <w:b/>
          <w:sz w:val="21"/>
          <w:szCs w:val="22"/>
          <w:lang w:val="en-US" w:eastAsia="zh-CN"/>
        </w:rPr>
        <w:t xml:space="preserve">value can be relaxed to </w:t>
      </w:r>
      <w:r>
        <w:rPr>
          <w:rFonts w:hint="eastAsia"/>
          <w:b/>
          <w:sz w:val="21"/>
          <w:szCs w:val="22"/>
          <w:lang w:val="en-US" w:eastAsia="zh-CN"/>
        </w:rPr>
        <w:t>0.8.</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features of 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 xml:space="preserve">and the following </w:t>
      </w:r>
      <w:r>
        <w:rPr>
          <w:rFonts w:hint="default" w:cs="Times New Roman"/>
          <w:sz w:val="21"/>
          <w:szCs w:val="22"/>
          <w:lang w:val="en-US" w:eastAsia="zh-CN"/>
        </w:rPr>
        <w:t>o</w:t>
      </w:r>
      <w:r>
        <w:rPr>
          <w:rFonts w:hint="default"/>
          <w:b w:val="0"/>
          <w:sz w:val="21"/>
          <w:szCs w:val="22"/>
          <w:lang w:val="en-US" w:eastAsia="zh-CN"/>
        </w:rPr>
        <w:t xml:space="preserve">bservations and </w:t>
      </w:r>
      <w:r>
        <w:rPr>
          <w:rFonts w:hint="default" w:ascii="Times New Roman" w:hAnsi="Times New Roman" w:cs="Times New Roman"/>
          <w:sz w:val="21"/>
          <w:szCs w:val="22"/>
          <w:lang w:val="en-US" w:eastAsia="zh-CN"/>
        </w:rPr>
        <w:t>proposals are made.</w:t>
      </w:r>
    </w:p>
    <w:p>
      <w:pPr>
        <w:spacing w:before="60" w:beforeLines="0" w:after="60" w:afterLines="0" w:line="360" w:lineRule="auto"/>
        <w:jc w:val="both"/>
        <w:rPr>
          <w:rFonts w:hint="default"/>
          <w:b/>
          <w:sz w:val="21"/>
          <w:szCs w:val="22"/>
          <w:lang w:val="en-US" w:eastAsia="zh-CN"/>
        </w:rPr>
      </w:pPr>
      <w:r>
        <w:rPr>
          <w:rFonts w:hint="eastAsia"/>
          <w:b/>
          <w:sz w:val="21"/>
          <w:szCs w:val="22"/>
          <w:lang w:val="en-US" w:eastAsia="zh-CN"/>
        </w:rPr>
        <w:t>Observation</w:t>
      </w:r>
      <w:r>
        <w:rPr>
          <w:rFonts w:hint="default"/>
          <w:b/>
          <w:sz w:val="21"/>
          <w:szCs w:val="22"/>
          <w:lang w:val="en-US" w:eastAsia="zh-CN"/>
        </w:rPr>
        <w:t xml:space="preserve"> </w:t>
      </w:r>
      <w:r>
        <w:rPr>
          <w:rFonts w:hint="eastAsia"/>
          <w:b/>
          <w:sz w:val="21"/>
          <w:szCs w:val="22"/>
          <w:lang w:val="en-US" w:eastAsia="zh-CN"/>
        </w:rPr>
        <w:t>1  It is observed that regardless of X=0.5/0.25 ms or X=1/0.5 ms, the row index in the default TDRA table cannot be completely reused by the R18 eRedcap UE.</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Msg 1 early indication for R18 eRedcap can be introduced.</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From the perspective of RAN1, Option 3 should be supported.</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3  The </w:t>
      </w:r>
      <w:r>
        <w:rPr>
          <w:rFonts w:hint="default" w:eastAsia="宋体"/>
          <w:b/>
          <w:sz w:val="21"/>
          <w:szCs w:val="22"/>
          <w:lang w:val="en-US" w:eastAsia="zh-CN"/>
        </w:rPr>
        <w:t>SI PDSCH triggered by P-RNTI should be</w:t>
      </w:r>
      <w:r>
        <w:rPr>
          <w:rFonts w:hint="eastAsia"/>
          <w:b/>
          <w:sz w:val="21"/>
          <w:szCs w:val="22"/>
          <w:lang w:val="en-US" w:eastAsia="zh-CN"/>
        </w:rPr>
        <w:t xml:space="preserve"> </w:t>
      </w:r>
      <w:r>
        <w:rPr>
          <w:rFonts w:hint="default" w:eastAsia="宋体"/>
          <w:b/>
          <w:sz w:val="21"/>
          <w:szCs w:val="22"/>
          <w:lang w:val="en-US" w:eastAsia="zh-CN"/>
        </w:rPr>
        <w:t xml:space="preserve">decoded </w:t>
      </w:r>
      <w:r>
        <w:rPr>
          <w:rFonts w:hint="eastAsia"/>
          <w:b/>
          <w:sz w:val="21"/>
          <w:szCs w:val="22"/>
          <w:lang w:val="en-US" w:eastAsia="zh-CN"/>
        </w:rPr>
        <w:t>prior</w:t>
      </w:r>
      <w:r>
        <w:rPr>
          <w:rFonts w:hint="default" w:eastAsia="宋体"/>
          <w:b/>
          <w:sz w:val="21"/>
          <w:szCs w:val="22"/>
          <w:lang w:val="en-US" w:eastAsia="zh-CN"/>
        </w:rPr>
        <w:t xml:space="preserve"> </w:t>
      </w:r>
      <w:r>
        <w:rPr>
          <w:rFonts w:hint="eastAsia"/>
          <w:b/>
          <w:sz w:val="21"/>
          <w:szCs w:val="22"/>
          <w:lang w:val="en-US" w:eastAsia="zh-CN"/>
        </w:rPr>
        <w:t xml:space="preserve">to the </w:t>
      </w:r>
      <w:r>
        <w:rPr>
          <w:rFonts w:hint="default" w:eastAsia="宋体"/>
          <w:b/>
          <w:sz w:val="21"/>
          <w:szCs w:val="22"/>
          <w:lang w:val="en-US" w:eastAsia="zh-CN"/>
        </w:rPr>
        <w:t>unicast PDSCH</w:t>
      </w:r>
      <w:r>
        <w:rPr>
          <w:rFonts w:hint="eastAsia"/>
          <w:b/>
          <w:sz w:val="21"/>
          <w:szCs w:val="22"/>
          <w:lang w:val="en-US" w:eastAsia="zh-CN"/>
        </w:rPr>
        <w:t>.</w:t>
      </w:r>
    </w:p>
    <w:p>
      <w:pPr>
        <w:spacing w:before="60" w:beforeLines="0" w:after="60" w:afterLines="0" w:line="360" w:lineRule="auto"/>
        <w:jc w:val="both"/>
        <w:rPr>
          <w:rFonts w:eastAsia="Microsoft YaHei UI"/>
          <w:b w:val="0"/>
          <w:color w:val="000000"/>
          <w:lang w:val="en-US" w:eastAsia="zh-CN"/>
        </w:rPr>
      </w:pPr>
      <w:r>
        <w:rPr>
          <w:rFonts w:hint="default"/>
          <w:b/>
          <w:sz w:val="21"/>
          <w:szCs w:val="22"/>
          <w:lang w:val="en-US" w:eastAsia="zh-CN"/>
        </w:rPr>
        <w:t xml:space="preserve">Proposal </w:t>
      </w:r>
      <w:r>
        <w:rPr>
          <w:rFonts w:hint="eastAsia"/>
          <w:b/>
          <w:sz w:val="21"/>
          <w:szCs w:val="22"/>
          <w:lang w:val="en-US" w:eastAsia="zh-CN"/>
        </w:rPr>
        <w:t>4  MsgB PDSCH can be limited like Msg4 PDSCH.</w:t>
      </w:r>
    </w:p>
    <w:p>
      <w:pPr>
        <w:spacing w:before="60" w:beforeLines="0" w:after="60" w:afterLines="0" w:line="360" w:lineRule="auto"/>
        <w:jc w:val="both"/>
        <w:rPr>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5  I</w:t>
      </w:r>
      <w:r>
        <w:rPr>
          <w:rFonts w:hint="default"/>
          <w:b/>
          <w:sz w:val="21"/>
          <w:szCs w:val="22"/>
          <w:lang w:val="en-US" w:eastAsia="zh-CN"/>
        </w:rPr>
        <w:t>f UE peak data rate reduction is an add-on technique to UE BB bandwidth reduction</w:t>
      </w:r>
      <w:r>
        <w:rPr>
          <w:rFonts w:eastAsia="宋体"/>
          <w:b/>
          <w:sz w:val="21"/>
          <w:szCs w:val="22"/>
          <w:lang w:val="en-US" w:eastAsia="zh-CN"/>
        </w:rPr>
        <w:t>, the constraint</w:t>
      </w:r>
      <w:r>
        <w:rPr>
          <w:rFonts w:eastAsiaTheme="minorEastAsia"/>
          <w:lang w:eastAsia="zh-CN"/>
        </w:rPr>
        <w:t xml:space="preserve">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3</w:t>
      </w:r>
      <w:r>
        <w:rPr>
          <w:rFonts w:hint="eastAsia"/>
          <w:b/>
          <w:sz w:val="21"/>
          <w:szCs w:val="22"/>
          <w:lang w:val="en-US" w:eastAsia="zh-CN"/>
        </w:rPr>
        <w:t>.2</w:t>
      </w:r>
      <w:r>
        <w:rPr>
          <w:b/>
          <w:sz w:val="21"/>
          <w:szCs w:val="22"/>
          <w:lang w:val="en-US" w:eastAsia="zh-CN"/>
        </w:rPr>
        <w:t>.</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6  I</w:t>
      </w:r>
      <w:r>
        <w:rPr>
          <w:rFonts w:hint="default" w:eastAsia="宋体"/>
          <w:b/>
          <w:sz w:val="21"/>
          <w:szCs w:val="22"/>
          <w:lang w:val="en-US" w:eastAsia="zh-CN"/>
        </w:rPr>
        <w:t>f UE peak data rate reduction is</w:t>
      </w:r>
      <w:r>
        <w:rPr>
          <w:rFonts w:eastAsia="宋体"/>
          <w:b/>
          <w:sz w:val="21"/>
          <w:szCs w:val="22"/>
          <w:lang w:val="en-US" w:eastAsia="zh-CN"/>
        </w:rPr>
        <w:t xml:space="preserve"> an </w:t>
      </w:r>
      <w:r>
        <w:rPr>
          <w:rFonts w:hint="default"/>
          <w:b/>
          <w:sz w:val="21"/>
          <w:szCs w:val="22"/>
          <w:lang w:val="en-US" w:eastAsia="zh-CN"/>
        </w:rPr>
        <w:t>standalone</w:t>
      </w:r>
      <w:r>
        <w:rPr>
          <w:rFonts w:eastAsia="宋体"/>
          <w:b/>
          <w:sz w:val="21"/>
          <w:szCs w:val="22"/>
          <w:lang w:val="en-US" w:eastAsia="zh-CN"/>
        </w:rPr>
        <w:t xml:space="preserve"> technique</w:t>
      </w:r>
      <w:r>
        <w:rPr>
          <w:rFonts w:hint="default"/>
          <w:b/>
          <w:sz w:val="21"/>
          <w:szCs w:val="22"/>
          <w:lang w:val="en-US" w:eastAsia="zh-CN"/>
        </w:rPr>
        <w:t>,</w:t>
      </w:r>
      <w:r>
        <w:rPr>
          <w:rFonts w:eastAsia="宋体"/>
          <w:b/>
          <w:sz w:val="21"/>
          <w:szCs w:val="22"/>
          <w:lang w:val="en-US" w:eastAsia="zh-CN"/>
        </w:rPr>
        <w:t xml:space="preserve"> the constraint </w:t>
      </w:r>
      <w:r>
        <w:t>(</w:t>
      </w:r>
      <w:r>
        <w:rPr>
          <w:i/>
          <w:iCs/>
        </w:rPr>
        <w:t>v</w:t>
      </w:r>
      <w:r>
        <w:rPr>
          <w:i/>
          <w:iCs/>
          <w:vertAlign w:val="subscript"/>
        </w:rPr>
        <w:t>Layers</w:t>
      </w:r>
      <w:r>
        <w:t>·</w:t>
      </w:r>
      <w:r>
        <w:rPr>
          <w:i/>
          <w:iCs/>
        </w:rPr>
        <w:t>Q</w:t>
      </w:r>
      <w:r>
        <w:rPr>
          <w:i/>
          <w:iCs/>
          <w:vertAlign w:val="subscript"/>
        </w:rPr>
        <w:t>m</w:t>
      </w:r>
      <w:r>
        <w:t>·</w:t>
      </w:r>
      <w:r>
        <w:rPr>
          <w:i/>
          <w:iCs/>
        </w:rPr>
        <w:t>f</w:t>
      </w:r>
      <w:r>
        <w:t>)</w:t>
      </w:r>
      <w:r>
        <w:rPr>
          <w:b/>
          <w:sz w:val="21"/>
          <w:szCs w:val="22"/>
          <w:lang w:val="en-US" w:eastAsia="zh-CN"/>
        </w:rPr>
        <w:t xml:space="preserve"> value can be relaxed to </w:t>
      </w:r>
      <w:r>
        <w:rPr>
          <w:rFonts w:hint="eastAsia"/>
          <w:b/>
          <w:sz w:val="21"/>
          <w:szCs w:val="22"/>
          <w:lang w:val="en-US" w:eastAsia="zh-CN"/>
        </w:rPr>
        <w:t>0.8.</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10"/>
        </w:numPr>
        <w:spacing w:before="0" w:beforeLines="0" w:afterLines="0" w:line="360" w:lineRule="auto"/>
        <w:ind w:leftChars="0"/>
        <w:rPr>
          <w:rFonts w:ascii="Times New Roman" w:hAnsi="Times New Roman"/>
          <w:lang w:val="zh-CN" w:eastAsia="zh-CN"/>
        </w:rPr>
      </w:pPr>
      <w:r>
        <w:rPr>
          <w:rFonts w:hint="default" w:ascii="Times New Roman" w:hAnsi="Times New Roman" w:eastAsia="宋体"/>
          <w:sz w:val="20"/>
          <w:lang w:val="en-US" w:eastAsia="zh-CN"/>
        </w:rPr>
        <w:t>“Draft_Minutes_report_RAN1#112b-e_v010”</w:t>
      </w:r>
      <w:r>
        <w:rPr>
          <w:rFonts w:hint="eastAsia" w:ascii="Times New Roman" w:hAnsi="Times New Roman" w:eastAsia="宋体"/>
          <w:sz w:val="20"/>
          <w:lang w:val="en-US" w:eastAsia="zh-CN"/>
        </w:rPr>
        <w:t>, RAN1#112b-e</w:t>
      </w:r>
    </w:p>
    <w:p>
      <w:pPr>
        <w:pStyle w:val="23"/>
        <w:numPr>
          <w:ilvl w:val="0"/>
          <w:numId w:val="10"/>
        </w:numPr>
        <w:spacing w:before="0" w:beforeLines="0" w:afterLines="0" w:line="360" w:lineRule="auto"/>
        <w:ind w:leftChars="0"/>
        <w:rPr>
          <w:rFonts w:ascii="Times New Roman" w:hAnsi="Times New Roman"/>
          <w:lang w:val="zh-CN" w:eastAsia="zh-CN"/>
        </w:rPr>
      </w:pPr>
      <w:r>
        <w:rPr>
          <w:rFonts w:hint="default" w:ascii="Times New Roman" w:hAnsi="Times New Roman" w:eastAsia="宋体"/>
          <w:sz w:val="20"/>
          <w:lang w:val="en-US" w:eastAsia="zh-CN"/>
        </w:rPr>
        <w:t>“</w:t>
      </w:r>
      <w:r>
        <w:rPr>
          <w:rFonts w:ascii="Times New Roman" w:hAnsi="Times New Roman"/>
          <w:sz w:val="20"/>
          <w:lang w:val="en-US"/>
        </w:rPr>
        <w:t>Draft Report of 3GPP TSG RAN WG1 #112 v0.4.0</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RAN1#112</w:t>
      </w:r>
    </w:p>
    <w:p>
      <w:pPr>
        <w:pStyle w:val="23"/>
        <w:numPr>
          <w:ilvl w:val="0"/>
          <w:numId w:val="10"/>
        </w:numPr>
        <w:spacing w:before="0" w:beforeLines="0" w:afterLines="0" w:line="360" w:lineRule="auto"/>
        <w:ind w:left="0" w:leftChars="0" w:firstLine="0"/>
        <w:rPr>
          <w:rFonts w:ascii="Times New Roman" w:hAnsi="Times New Roman"/>
          <w:lang w:val="en-US" w:eastAsia="zh-CN"/>
        </w:rPr>
      </w:pPr>
      <w:r>
        <w:rPr>
          <w:rFonts w:hint="eastAsia" w:ascii="Times New Roman" w:hAnsi="Times New Roman"/>
          <w:lang w:val="zh-CN" w:eastAsia="zh-CN"/>
        </w:rPr>
        <w:t>RP-</w:t>
      </w:r>
      <w:r>
        <w:rPr>
          <w:rFonts w:ascii="Times New Roman" w:hAnsi="Times New Roman"/>
          <w:lang w:val="zh-CN" w:eastAsia="zh-CN"/>
        </w:rPr>
        <w:t>230778</w:t>
      </w:r>
      <w:r>
        <w:rPr>
          <w:rFonts w:hint="eastAsia" w:ascii="Times New Roman" w:hAnsi="Times New Roman"/>
          <w:lang w:val="en-US" w:eastAsia="zh-CN"/>
        </w:rPr>
        <w:t xml:space="preserve">, </w:t>
      </w:r>
      <w:r>
        <w:rPr>
          <w:rFonts w:hint="default" w:ascii="Times New Roman" w:hAnsi="Times New Roman"/>
          <w:lang w:val="en-US" w:eastAsia="zh-CN"/>
        </w:rPr>
        <w:t>“Proposal for PR1 in eRedCap”</w:t>
      </w:r>
      <w:r>
        <w:rPr>
          <w:rFonts w:hint="eastAsia" w:ascii="Times New Roman" w:hAnsi="Times New Roman"/>
          <w:lang w:val="en-US" w:eastAsia="zh-CN"/>
        </w:rPr>
        <w:t>, RAN#99</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0358E7"/>
    <w:multiLevelType w:val="multilevel"/>
    <w:tmpl w:val="02035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1C0A5BD4"/>
    <w:multiLevelType w:val="multilevel"/>
    <w:tmpl w:val="1C0A5B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75D3A27"/>
    <w:multiLevelType w:val="multilevel"/>
    <w:tmpl w:val="375D3A2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7D200DF"/>
    <w:multiLevelType w:val="multilevel"/>
    <w:tmpl w:val="47D20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D353A2"/>
    <w:multiLevelType w:val="multilevel"/>
    <w:tmpl w:val="51D353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2AC0118"/>
    <w:multiLevelType w:val="multilevel"/>
    <w:tmpl w:val="72AC0118"/>
    <w:lvl w:ilvl="0" w:tentative="0">
      <w:start w:val="1"/>
      <w:numFmt w:val="bullet"/>
      <w:lvlText w:val=""/>
      <w:lvlJc w:val="left"/>
      <w:pPr>
        <w:ind w:left="860" w:hanging="440"/>
      </w:pPr>
      <w:rPr>
        <w:rFonts w:hint="default" w:ascii="Symbol" w:hAnsi="Symbol"/>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8">
    <w:nsid w:val="762A717F"/>
    <w:multiLevelType w:val="multilevel"/>
    <w:tmpl w:val="762A71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F095F02"/>
    <w:multiLevelType w:val="multilevel"/>
    <w:tmpl w:val="7F095F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3"/>
  </w:num>
  <w:num w:numId="3">
    <w:abstractNumId w:val="2"/>
  </w:num>
  <w:num w:numId="4">
    <w:abstractNumId w:val="5"/>
  </w:num>
  <w:num w:numId="5">
    <w:abstractNumId w:val="8"/>
  </w:num>
  <w:num w:numId="6">
    <w:abstractNumId w:val="6"/>
  </w:num>
  <w:num w:numId="7">
    <w:abstractNumId w:val="1"/>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D0754F"/>
    <w:rsid w:val="00D25C57"/>
    <w:rsid w:val="00E658FD"/>
    <w:rsid w:val="010334B8"/>
    <w:rsid w:val="01081B3E"/>
    <w:rsid w:val="01096691"/>
    <w:rsid w:val="01914021"/>
    <w:rsid w:val="01A5084E"/>
    <w:rsid w:val="01C95A51"/>
    <w:rsid w:val="020E6E6E"/>
    <w:rsid w:val="022B099C"/>
    <w:rsid w:val="02366D2D"/>
    <w:rsid w:val="02821545"/>
    <w:rsid w:val="02BA26ED"/>
    <w:rsid w:val="03292219"/>
    <w:rsid w:val="032D0C33"/>
    <w:rsid w:val="03333EBB"/>
    <w:rsid w:val="03600D99"/>
    <w:rsid w:val="039242F7"/>
    <w:rsid w:val="03C91DEF"/>
    <w:rsid w:val="043D1681"/>
    <w:rsid w:val="046105A7"/>
    <w:rsid w:val="04664A43"/>
    <w:rsid w:val="048C0506"/>
    <w:rsid w:val="050B2FD3"/>
    <w:rsid w:val="057B238D"/>
    <w:rsid w:val="05BE0571"/>
    <w:rsid w:val="05C55C85"/>
    <w:rsid w:val="05CD6914"/>
    <w:rsid w:val="05F11FCC"/>
    <w:rsid w:val="062D641E"/>
    <w:rsid w:val="06467E10"/>
    <w:rsid w:val="06631006"/>
    <w:rsid w:val="068B669D"/>
    <w:rsid w:val="06963DDF"/>
    <w:rsid w:val="06B22BCB"/>
    <w:rsid w:val="06B6596F"/>
    <w:rsid w:val="06D76DC6"/>
    <w:rsid w:val="06DB01C7"/>
    <w:rsid w:val="06FD7C23"/>
    <w:rsid w:val="07412138"/>
    <w:rsid w:val="075014AD"/>
    <w:rsid w:val="075B4E21"/>
    <w:rsid w:val="079743E7"/>
    <w:rsid w:val="07A03B2F"/>
    <w:rsid w:val="07DE508C"/>
    <w:rsid w:val="083126FA"/>
    <w:rsid w:val="08575FBE"/>
    <w:rsid w:val="08BE5FB6"/>
    <w:rsid w:val="08D602B0"/>
    <w:rsid w:val="09386CEF"/>
    <w:rsid w:val="093A776C"/>
    <w:rsid w:val="09546DE2"/>
    <w:rsid w:val="095E2632"/>
    <w:rsid w:val="09700C89"/>
    <w:rsid w:val="09731A1B"/>
    <w:rsid w:val="09891C4A"/>
    <w:rsid w:val="09C11875"/>
    <w:rsid w:val="0A940E9D"/>
    <w:rsid w:val="0A944117"/>
    <w:rsid w:val="0AB5350C"/>
    <w:rsid w:val="0AC8754E"/>
    <w:rsid w:val="0AD04CB6"/>
    <w:rsid w:val="0B204305"/>
    <w:rsid w:val="0B4F2D08"/>
    <w:rsid w:val="0B5645CC"/>
    <w:rsid w:val="0B5A0448"/>
    <w:rsid w:val="0B7E082A"/>
    <w:rsid w:val="0C201AD9"/>
    <w:rsid w:val="0C3F70FC"/>
    <w:rsid w:val="0C6B3E4C"/>
    <w:rsid w:val="0C7A3E69"/>
    <w:rsid w:val="0CD41A6D"/>
    <w:rsid w:val="0D092E4F"/>
    <w:rsid w:val="0D6E5C96"/>
    <w:rsid w:val="0D8008CF"/>
    <w:rsid w:val="0D9F3231"/>
    <w:rsid w:val="0DFE15A3"/>
    <w:rsid w:val="0E2C3933"/>
    <w:rsid w:val="0E4D44EF"/>
    <w:rsid w:val="0EF85813"/>
    <w:rsid w:val="0F0B0B79"/>
    <w:rsid w:val="0F396010"/>
    <w:rsid w:val="0F524340"/>
    <w:rsid w:val="0FBB3C35"/>
    <w:rsid w:val="0FD746B6"/>
    <w:rsid w:val="0FD94151"/>
    <w:rsid w:val="0FF80ADD"/>
    <w:rsid w:val="107F6857"/>
    <w:rsid w:val="10931CC7"/>
    <w:rsid w:val="10C54ADC"/>
    <w:rsid w:val="10F51AD3"/>
    <w:rsid w:val="11BC7B3F"/>
    <w:rsid w:val="123D56D9"/>
    <w:rsid w:val="12960691"/>
    <w:rsid w:val="12A365A3"/>
    <w:rsid w:val="12A44024"/>
    <w:rsid w:val="131D046B"/>
    <w:rsid w:val="135C7F4F"/>
    <w:rsid w:val="139F60D9"/>
    <w:rsid w:val="13A67F63"/>
    <w:rsid w:val="13F554B1"/>
    <w:rsid w:val="14327D73"/>
    <w:rsid w:val="145C6F22"/>
    <w:rsid w:val="149C635D"/>
    <w:rsid w:val="14AC682E"/>
    <w:rsid w:val="14C53B07"/>
    <w:rsid w:val="14D80741"/>
    <w:rsid w:val="14F05DE7"/>
    <w:rsid w:val="15682461"/>
    <w:rsid w:val="15AD3A82"/>
    <w:rsid w:val="15BF12E4"/>
    <w:rsid w:val="15CE7E95"/>
    <w:rsid w:val="15E82AFC"/>
    <w:rsid w:val="16501227"/>
    <w:rsid w:val="170B1239"/>
    <w:rsid w:val="17326BFF"/>
    <w:rsid w:val="173340E6"/>
    <w:rsid w:val="1766497C"/>
    <w:rsid w:val="17846D8A"/>
    <w:rsid w:val="17EF5450"/>
    <w:rsid w:val="183D7BCD"/>
    <w:rsid w:val="183E7952"/>
    <w:rsid w:val="187C1BBC"/>
    <w:rsid w:val="188259C1"/>
    <w:rsid w:val="18B21AD6"/>
    <w:rsid w:val="18EA08C6"/>
    <w:rsid w:val="19286D8E"/>
    <w:rsid w:val="19B6063F"/>
    <w:rsid w:val="19F743DF"/>
    <w:rsid w:val="1A682661"/>
    <w:rsid w:val="1A942215"/>
    <w:rsid w:val="1ACC2385"/>
    <w:rsid w:val="1AD0213C"/>
    <w:rsid w:val="1AE462AF"/>
    <w:rsid w:val="1AE945CD"/>
    <w:rsid w:val="1BED197A"/>
    <w:rsid w:val="1BFF39FC"/>
    <w:rsid w:val="1C1823A7"/>
    <w:rsid w:val="1C4A27F6"/>
    <w:rsid w:val="1CB908AC"/>
    <w:rsid w:val="1D176197"/>
    <w:rsid w:val="1D3A2CBF"/>
    <w:rsid w:val="1D4E0DE6"/>
    <w:rsid w:val="1D5F3C1E"/>
    <w:rsid w:val="1D786CA0"/>
    <w:rsid w:val="1ED32220"/>
    <w:rsid w:val="1EF27252"/>
    <w:rsid w:val="1EF8454C"/>
    <w:rsid w:val="1F0868CC"/>
    <w:rsid w:val="1F1402D1"/>
    <w:rsid w:val="1F713F17"/>
    <w:rsid w:val="1FBF7ED9"/>
    <w:rsid w:val="20273EC1"/>
    <w:rsid w:val="203E1579"/>
    <w:rsid w:val="20486C30"/>
    <w:rsid w:val="20600576"/>
    <w:rsid w:val="20DA5585"/>
    <w:rsid w:val="20DC4847"/>
    <w:rsid w:val="213972AA"/>
    <w:rsid w:val="21486D50"/>
    <w:rsid w:val="21A041E8"/>
    <w:rsid w:val="21A835A0"/>
    <w:rsid w:val="21C71C6C"/>
    <w:rsid w:val="21F51F69"/>
    <w:rsid w:val="224131C1"/>
    <w:rsid w:val="226804C4"/>
    <w:rsid w:val="22B456FE"/>
    <w:rsid w:val="22EB050E"/>
    <w:rsid w:val="22EE7297"/>
    <w:rsid w:val="22FD69AE"/>
    <w:rsid w:val="230B5C6A"/>
    <w:rsid w:val="23102595"/>
    <w:rsid w:val="23543698"/>
    <w:rsid w:val="235532CB"/>
    <w:rsid w:val="2378316C"/>
    <w:rsid w:val="23AB02F8"/>
    <w:rsid w:val="23E1725C"/>
    <w:rsid w:val="24222D39"/>
    <w:rsid w:val="24770AA7"/>
    <w:rsid w:val="24805C6F"/>
    <w:rsid w:val="249C66CB"/>
    <w:rsid w:val="24F02CB3"/>
    <w:rsid w:val="253731E2"/>
    <w:rsid w:val="259733DB"/>
    <w:rsid w:val="259F0F36"/>
    <w:rsid w:val="25BF7538"/>
    <w:rsid w:val="25E25F7B"/>
    <w:rsid w:val="25FA3B44"/>
    <w:rsid w:val="26014383"/>
    <w:rsid w:val="26025AC5"/>
    <w:rsid w:val="26117D22"/>
    <w:rsid w:val="264E29E7"/>
    <w:rsid w:val="265817DB"/>
    <w:rsid w:val="26685E4E"/>
    <w:rsid w:val="26710598"/>
    <w:rsid w:val="26A420F1"/>
    <w:rsid w:val="26D50A2C"/>
    <w:rsid w:val="27CE415D"/>
    <w:rsid w:val="283F7913"/>
    <w:rsid w:val="286F3CE6"/>
    <w:rsid w:val="28C65A54"/>
    <w:rsid w:val="28F57152"/>
    <w:rsid w:val="29156672"/>
    <w:rsid w:val="29925D2E"/>
    <w:rsid w:val="29AA010A"/>
    <w:rsid w:val="29FA68D1"/>
    <w:rsid w:val="2A5218FD"/>
    <w:rsid w:val="2AEB718E"/>
    <w:rsid w:val="2B15743C"/>
    <w:rsid w:val="2B172940"/>
    <w:rsid w:val="2B20324F"/>
    <w:rsid w:val="2C0525C8"/>
    <w:rsid w:val="2C153FA1"/>
    <w:rsid w:val="2C1A370D"/>
    <w:rsid w:val="2C3F7E23"/>
    <w:rsid w:val="2C71696C"/>
    <w:rsid w:val="2C9C42D9"/>
    <w:rsid w:val="2CC04EFA"/>
    <w:rsid w:val="2D312F7F"/>
    <w:rsid w:val="2D855F3C"/>
    <w:rsid w:val="2DFE2383"/>
    <w:rsid w:val="2EE4137C"/>
    <w:rsid w:val="2FCF028E"/>
    <w:rsid w:val="303F6316"/>
    <w:rsid w:val="30A72E79"/>
    <w:rsid w:val="30C920B8"/>
    <w:rsid w:val="30F36EDD"/>
    <w:rsid w:val="31182819"/>
    <w:rsid w:val="315A7B86"/>
    <w:rsid w:val="31696F75"/>
    <w:rsid w:val="31E806EF"/>
    <w:rsid w:val="32395E90"/>
    <w:rsid w:val="323D5BFB"/>
    <w:rsid w:val="32792BB7"/>
    <w:rsid w:val="32902DEB"/>
    <w:rsid w:val="329A7A4B"/>
    <w:rsid w:val="32F020EB"/>
    <w:rsid w:val="3300373A"/>
    <w:rsid w:val="334B2535"/>
    <w:rsid w:val="3356713D"/>
    <w:rsid w:val="33D577B5"/>
    <w:rsid w:val="33DF4AD8"/>
    <w:rsid w:val="344227AB"/>
    <w:rsid w:val="34712317"/>
    <w:rsid w:val="34D54F15"/>
    <w:rsid w:val="355F746B"/>
    <w:rsid w:val="35B567A6"/>
    <w:rsid w:val="35B873B1"/>
    <w:rsid w:val="3618394C"/>
    <w:rsid w:val="364C2EB6"/>
    <w:rsid w:val="36665823"/>
    <w:rsid w:val="36852913"/>
    <w:rsid w:val="37342E1F"/>
    <w:rsid w:val="37467121"/>
    <w:rsid w:val="374E39C9"/>
    <w:rsid w:val="37972EC4"/>
    <w:rsid w:val="379B18CA"/>
    <w:rsid w:val="37A2030E"/>
    <w:rsid w:val="37A54048"/>
    <w:rsid w:val="38CB386D"/>
    <w:rsid w:val="38D146E8"/>
    <w:rsid w:val="39003390"/>
    <w:rsid w:val="39456083"/>
    <w:rsid w:val="39B70940"/>
    <w:rsid w:val="39ED44B5"/>
    <w:rsid w:val="39FF0D34"/>
    <w:rsid w:val="3A8E6D2A"/>
    <w:rsid w:val="3A976FE1"/>
    <w:rsid w:val="3B296135"/>
    <w:rsid w:val="3B605478"/>
    <w:rsid w:val="3B702D5E"/>
    <w:rsid w:val="3BB75E87"/>
    <w:rsid w:val="3BD94DA7"/>
    <w:rsid w:val="3BDB6AF8"/>
    <w:rsid w:val="3BF24696"/>
    <w:rsid w:val="3C077299"/>
    <w:rsid w:val="3C6B33AC"/>
    <w:rsid w:val="3CBF66BA"/>
    <w:rsid w:val="3CF31043"/>
    <w:rsid w:val="3D045D81"/>
    <w:rsid w:val="3D0955CD"/>
    <w:rsid w:val="3D8B16BA"/>
    <w:rsid w:val="3DA42D80"/>
    <w:rsid w:val="3DD3111B"/>
    <w:rsid w:val="3E5F4689"/>
    <w:rsid w:val="3F3570C3"/>
    <w:rsid w:val="3F651E10"/>
    <w:rsid w:val="3F884A5E"/>
    <w:rsid w:val="3FC12F51"/>
    <w:rsid w:val="404104F9"/>
    <w:rsid w:val="40520794"/>
    <w:rsid w:val="407F5DE0"/>
    <w:rsid w:val="409D5390"/>
    <w:rsid w:val="40A53650"/>
    <w:rsid w:val="41600151"/>
    <w:rsid w:val="41603818"/>
    <w:rsid w:val="41B53228"/>
    <w:rsid w:val="42A81EAB"/>
    <w:rsid w:val="42E5654F"/>
    <w:rsid w:val="42E62A04"/>
    <w:rsid w:val="42F3528E"/>
    <w:rsid w:val="430A058D"/>
    <w:rsid w:val="43254DBA"/>
    <w:rsid w:val="43993D8E"/>
    <w:rsid w:val="43E56B7B"/>
    <w:rsid w:val="449700C1"/>
    <w:rsid w:val="44DF4AD3"/>
    <w:rsid w:val="45643FA0"/>
    <w:rsid w:val="45806EC3"/>
    <w:rsid w:val="458A5B63"/>
    <w:rsid w:val="461B5D11"/>
    <w:rsid w:val="46686C9E"/>
    <w:rsid w:val="46CC2197"/>
    <w:rsid w:val="47341CB9"/>
    <w:rsid w:val="47596A1D"/>
    <w:rsid w:val="476C4C8D"/>
    <w:rsid w:val="478F75F0"/>
    <w:rsid w:val="47CA5A26"/>
    <w:rsid w:val="48066B36"/>
    <w:rsid w:val="488E5A9B"/>
    <w:rsid w:val="48AF1F07"/>
    <w:rsid w:val="48B225B7"/>
    <w:rsid w:val="48B64E60"/>
    <w:rsid w:val="48F12CEE"/>
    <w:rsid w:val="4938000E"/>
    <w:rsid w:val="498558F4"/>
    <w:rsid w:val="4A523E05"/>
    <w:rsid w:val="4A603492"/>
    <w:rsid w:val="4A6F7A71"/>
    <w:rsid w:val="4ABC3BAC"/>
    <w:rsid w:val="4ACC6911"/>
    <w:rsid w:val="4B4016F3"/>
    <w:rsid w:val="4B453C14"/>
    <w:rsid w:val="4B727B1B"/>
    <w:rsid w:val="4BB46FD1"/>
    <w:rsid w:val="4BB54D88"/>
    <w:rsid w:val="4C750F78"/>
    <w:rsid w:val="4CB6277A"/>
    <w:rsid w:val="4D121D34"/>
    <w:rsid w:val="4D7A3398"/>
    <w:rsid w:val="4E000105"/>
    <w:rsid w:val="4E5B34CB"/>
    <w:rsid w:val="4E897B66"/>
    <w:rsid w:val="4EE53BFB"/>
    <w:rsid w:val="4EEF51A5"/>
    <w:rsid w:val="4EF33F37"/>
    <w:rsid w:val="4F1254C3"/>
    <w:rsid w:val="4F29663B"/>
    <w:rsid w:val="4F2F631B"/>
    <w:rsid w:val="4F3C0010"/>
    <w:rsid w:val="4F4A0C44"/>
    <w:rsid w:val="4F687927"/>
    <w:rsid w:val="4F706F0D"/>
    <w:rsid w:val="4F932A9A"/>
    <w:rsid w:val="50617C70"/>
    <w:rsid w:val="508D0734"/>
    <w:rsid w:val="508F4388"/>
    <w:rsid w:val="509748C6"/>
    <w:rsid w:val="50CE6F9F"/>
    <w:rsid w:val="51191C31"/>
    <w:rsid w:val="513671C8"/>
    <w:rsid w:val="51774DB4"/>
    <w:rsid w:val="517A638F"/>
    <w:rsid w:val="517D50F1"/>
    <w:rsid w:val="51BA56A1"/>
    <w:rsid w:val="51D51D50"/>
    <w:rsid w:val="522378D0"/>
    <w:rsid w:val="525E29B5"/>
    <w:rsid w:val="528A181C"/>
    <w:rsid w:val="52CD3145"/>
    <w:rsid w:val="52FF50A3"/>
    <w:rsid w:val="531E1B16"/>
    <w:rsid w:val="535321C1"/>
    <w:rsid w:val="535B7AFB"/>
    <w:rsid w:val="542A2224"/>
    <w:rsid w:val="54322216"/>
    <w:rsid w:val="544A7794"/>
    <w:rsid w:val="544F0576"/>
    <w:rsid w:val="54766E20"/>
    <w:rsid w:val="547748A2"/>
    <w:rsid w:val="54C12E33"/>
    <w:rsid w:val="54C77B24"/>
    <w:rsid w:val="54C923B1"/>
    <w:rsid w:val="551054EB"/>
    <w:rsid w:val="5526593F"/>
    <w:rsid w:val="553C3366"/>
    <w:rsid w:val="557A6439"/>
    <w:rsid w:val="559B138A"/>
    <w:rsid w:val="55E404D5"/>
    <w:rsid w:val="560A4E69"/>
    <w:rsid w:val="56132672"/>
    <w:rsid w:val="56B6720F"/>
    <w:rsid w:val="56CE33F3"/>
    <w:rsid w:val="56E865F9"/>
    <w:rsid w:val="57420238"/>
    <w:rsid w:val="575514CD"/>
    <w:rsid w:val="57566604"/>
    <w:rsid w:val="57577640"/>
    <w:rsid w:val="575A1224"/>
    <w:rsid w:val="57F21DC7"/>
    <w:rsid w:val="58036524"/>
    <w:rsid w:val="586E14BF"/>
    <w:rsid w:val="588F186B"/>
    <w:rsid w:val="58AD7D6B"/>
    <w:rsid w:val="595B14B9"/>
    <w:rsid w:val="599F5B19"/>
    <w:rsid w:val="5ABC3E58"/>
    <w:rsid w:val="5ACF2987"/>
    <w:rsid w:val="5AE625AD"/>
    <w:rsid w:val="5B0950EB"/>
    <w:rsid w:val="5B397E38"/>
    <w:rsid w:val="5C0813BB"/>
    <w:rsid w:val="5C1839E9"/>
    <w:rsid w:val="5C2432B9"/>
    <w:rsid w:val="5CC93A47"/>
    <w:rsid w:val="5CE31FB3"/>
    <w:rsid w:val="5D702D81"/>
    <w:rsid w:val="5D8F6F3F"/>
    <w:rsid w:val="5E4C6141"/>
    <w:rsid w:val="5E5830B6"/>
    <w:rsid w:val="5E9033B3"/>
    <w:rsid w:val="5ECA6000"/>
    <w:rsid w:val="5EE15B23"/>
    <w:rsid w:val="5F1E4324"/>
    <w:rsid w:val="5F8D2114"/>
    <w:rsid w:val="5F946831"/>
    <w:rsid w:val="5FA34174"/>
    <w:rsid w:val="60503394"/>
    <w:rsid w:val="606737AA"/>
    <w:rsid w:val="60E73525"/>
    <w:rsid w:val="61161572"/>
    <w:rsid w:val="61A907DA"/>
    <w:rsid w:val="61BE4069"/>
    <w:rsid w:val="61C21F70"/>
    <w:rsid w:val="61CB5D59"/>
    <w:rsid w:val="61FC0E51"/>
    <w:rsid w:val="61FF3FD4"/>
    <w:rsid w:val="625957CD"/>
    <w:rsid w:val="62C87348"/>
    <w:rsid w:val="62EF34B9"/>
    <w:rsid w:val="62F95EDE"/>
    <w:rsid w:val="62FF1157"/>
    <w:rsid w:val="634001E3"/>
    <w:rsid w:val="63E31B13"/>
    <w:rsid w:val="644C405D"/>
    <w:rsid w:val="64B0665A"/>
    <w:rsid w:val="65B87C60"/>
    <w:rsid w:val="65CC54F7"/>
    <w:rsid w:val="65DA25C0"/>
    <w:rsid w:val="6626064F"/>
    <w:rsid w:val="663549B3"/>
    <w:rsid w:val="664F4F7E"/>
    <w:rsid w:val="667E4DB2"/>
    <w:rsid w:val="66AE6C06"/>
    <w:rsid w:val="66D4616C"/>
    <w:rsid w:val="67477A69"/>
    <w:rsid w:val="67B44AC0"/>
    <w:rsid w:val="67D5446A"/>
    <w:rsid w:val="68012776"/>
    <w:rsid w:val="68073EC9"/>
    <w:rsid w:val="686D205F"/>
    <w:rsid w:val="68E1201D"/>
    <w:rsid w:val="68F128DF"/>
    <w:rsid w:val="699A657E"/>
    <w:rsid w:val="69CE2026"/>
    <w:rsid w:val="6A03709F"/>
    <w:rsid w:val="6A921170"/>
    <w:rsid w:val="6AA64288"/>
    <w:rsid w:val="6AAD28D9"/>
    <w:rsid w:val="6AB60C9F"/>
    <w:rsid w:val="6AC7223E"/>
    <w:rsid w:val="6B02197F"/>
    <w:rsid w:val="6B20701A"/>
    <w:rsid w:val="6BC85664"/>
    <w:rsid w:val="6C397FC7"/>
    <w:rsid w:val="6C4504B1"/>
    <w:rsid w:val="6CD81C1E"/>
    <w:rsid w:val="6CE978CE"/>
    <w:rsid w:val="6CF62C08"/>
    <w:rsid w:val="6D270AA3"/>
    <w:rsid w:val="6D561817"/>
    <w:rsid w:val="6DA24B6A"/>
    <w:rsid w:val="6E146A14"/>
    <w:rsid w:val="6E360C61"/>
    <w:rsid w:val="6E610B30"/>
    <w:rsid w:val="6E7716CA"/>
    <w:rsid w:val="6E8A0C0F"/>
    <w:rsid w:val="6E8C0BE2"/>
    <w:rsid w:val="6EB26818"/>
    <w:rsid w:val="6EB73A9A"/>
    <w:rsid w:val="6EB766A5"/>
    <w:rsid w:val="6EDA6A7D"/>
    <w:rsid w:val="6F165D50"/>
    <w:rsid w:val="709177BB"/>
    <w:rsid w:val="70D04FAA"/>
    <w:rsid w:val="71085217"/>
    <w:rsid w:val="710D5413"/>
    <w:rsid w:val="712C7C8C"/>
    <w:rsid w:val="71487ACE"/>
    <w:rsid w:val="71C165F4"/>
    <w:rsid w:val="72396872"/>
    <w:rsid w:val="72427182"/>
    <w:rsid w:val="72602955"/>
    <w:rsid w:val="727A40E0"/>
    <w:rsid w:val="73402061"/>
    <w:rsid w:val="736E0E6D"/>
    <w:rsid w:val="738E3316"/>
    <w:rsid w:val="73C2417B"/>
    <w:rsid w:val="73D24415"/>
    <w:rsid w:val="7455116B"/>
    <w:rsid w:val="745F6C7C"/>
    <w:rsid w:val="74653984"/>
    <w:rsid w:val="74A55024"/>
    <w:rsid w:val="750072B4"/>
    <w:rsid w:val="751167ED"/>
    <w:rsid w:val="76732C9D"/>
    <w:rsid w:val="769F2D64"/>
    <w:rsid w:val="76A46677"/>
    <w:rsid w:val="76BF0DED"/>
    <w:rsid w:val="7732281D"/>
    <w:rsid w:val="778F795D"/>
    <w:rsid w:val="77E524BA"/>
    <w:rsid w:val="7805161F"/>
    <w:rsid w:val="78A56E7C"/>
    <w:rsid w:val="78D366C6"/>
    <w:rsid w:val="78EA1B6E"/>
    <w:rsid w:val="78F114F9"/>
    <w:rsid w:val="794B1971"/>
    <w:rsid w:val="7961146B"/>
    <w:rsid w:val="798B53DB"/>
    <w:rsid w:val="79C23DD0"/>
    <w:rsid w:val="79E6728C"/>
    <w:rsid w:val="79EE5F19"/>
    <w:rsid w:val="7A442306"/>
    <w:rsid w:val="7A83640D"/>
    <w:rsid w:val="7ACF3E92"/>
    <w:rsid w:val="7B315C9C"/>
    <w:rsid w:val="7B585E3C"/>
    <w:rsid w:val="7B6D768F"/>
    <w:rsid w:val="7B7E06C4"/>
    <w:rsid w:val="7B9052C5"/>
    <w:rsid w:val="7BC703CB"/>
    <w:rsid w:val="7BFC5DC1"/>
    <w:rsid w:val="7C140848"/>
    <w:rsid w:val="7C2524E2"/>
    <w:rsid w:val="7C585A30"/>
    <w:rsid w:val="7C6159BC"/>
    <w:rsid w:val="7C7E29CD"/>
    <w:rsid w:val="7C815CBD"/>
    <w:rsid w:val="7C9877BF"/>
    <w:rsid w:val="7D314F01"/>
    <w:rsid w:val="7D4F649D"/>
    <w:rsid w:val="7D551EE0"/>
    <w:rsid w:val="7D564C1D"/>
    <w:rsid w:val="7DC616C1"/>
    <w:rsid w:val="7DD2457A"/>
    <w:rsid w:val="7E582255"/>
    <w:rsid w:val="7E631894"/>
    <w:rsid w:val="7EA02EFE"/>
    <w:rsid w:val="7EB738F3"/>
    <w:rsid w:val="7F0D0A7F"/>
    <w:rsid w:val="7F151C89"/>
    <w:rsid w:val="7F7E58BB"/>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2023-05-15T06:17:00Z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